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719 vom 1. September 2023</w:t>
      </w:r>
    </w:p>
    <w:p>
      <w:r>
        <w:t>VD Tribunal cantonal, 2023-09-01, FR</w:t>
      </w:r>
    </w:p>
    <w:p>
      <w:r>
        <w:rPr>
          <w:b/>
        </w:rPr>
        <w:t xml:space="preserve">Quelle: </w:t>
      </w:r>
      <w:r>
        <w:t>https://mcp.opencaselaw.ch/entscheid/vd_findinfo_719___________</w:t>
      </w:r>
    </w:p>
    <w:p>
      <w:r>
        <w:t>FR: VD_FINDINFO 719 du 1 septembre 2023</w:t>
      </w:r>
    </w:p>
    <w:p>
      <w:r>
        <w:t>IT: VD_FINDINFO 719 del 1 settembre 2023</w:t>
      </w:r>
    </w:p>
    <w:p>
      <w:pPr>
        <w:pStyle w:val="Heading2"/>
      </w:pPr>
      <w:r>
        <w:t>Regeste</w:t>
      </w:r>
    </w:p>
    <w:p>
      <w:r>
        <w:t>REJET DE LA DEMANDE, DÉCISION D'EXÉCUTION | 92 CP, 19 al. 1 let. k LEP, 8 LEP</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 condamné qui a qualité pour recourir (art. 382 al. 1 CPP), et satisfaisant aux exigences de forme prescrites (art. 385 al. 1 CPP), le recours interjeté par P.________ est recevable. Les pièces produites à l’appui de celui-ci sont également recevables, dans la mesure où elle ne sont pas déjà au dossier.</w:t>
      </w:r>
    </w:p>
    <w:p>
      <w:r>
        <w:rPr>
          <w:b/>
        </w:rPr>
        <w:t>E. 2.1</w:t>
      </w:r>
    </w:p>
    <w:p>
      <w:r>
        <w:t>Le recourant revient longuement sur ses précédents échanges avec l’OEP et explique qu’il a remis de l’ordre dans sa vie, ne prenant plus de médicaments et n’ayant plus aucune nouvelle dette. Il indique, avoir obtenu un logement dont il ne peut résilier le bail avant le 30 juin 2024, ajoutant qu’il pourrait ainsi espérer être relogé par ce bailleur à sa sortie de prison. Il indique avoir un emploi et souhaite pouvoir expliquer la situation à son employeur pour avoir une chance d’être réengagé à sa sortie de détention et enfin qu’il a la garde partagée sur ses jumeaux de 13 ans avec qui il veut renouer les liens. Il ajoute avoir besoin d’un délai jusqu’au milieu, voir à la fin de l’année 2024, pour « faire les choses comme il faut ».</w:t>
      </w:r>
    </w:p>
    <w:p>
      <w:r>
        <w:rPr>
          <w:b/>
        </w:rPr>
        <w:t>E. 2.2</w:t>
      </w:r>
    </w:p>
    <w:p>
      <w:r>
        <w:t>Conformément à l’art. 92 CP (Code pénal suisse du 21 décembre 1937 ; RS 311.0), l’exécution des peines et des mesures peut être interrompue pour un motif grave. Cette norme correspond à l’art. 40 al. 1 aCP, de sorte que la jurisprudence relative à cette dernière disposition conserve sa valeur (ATF 136 IV 97 consid. 4). L’ajournement de l’exécution d’une peine s’assimile dans ses motifs à l’interruption de son exécution prévue par l’art. 92 CP (TF 6B_558/2021 du 20 mai 2021 ; TF 6B_511/2013 du 17 septembre 2013 consid. 2.1 ; Dupuis et al. [éd.], Petit commentaire du Code pénal, 2 e éd., Bâle 2017, n. 2 ad art. 92 CP).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6B_558/2021 du 20 mai 2021 consid. 3.1 ; TF 6B_930/2019 du 24 septembre 2019 consid. 4.1 et réf. cit.).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147 IV 453 consid. 1.2 ; ATF 108 Ia 69 consid. 2c, JdT 1983 IV 34 ; TF 6B_558/2021 précité consid. 3.1 ; TF 6B_511/2013 précité consid. 2.1). L'exécution de la peine ne peut en principe être interrompue que si le condamné se trouve, pour une période indéterminée, ou à tout le moins pour une certaine durée, incapable de subir l'exécution de sa peine pour des motifs très sérieux de santé (ATF 147 IV 453 consid. 1.2 ; ATF 136 IV 97 consid. 5.1 et réf. cit. ; TF 6B_558/2021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147 IV 453 précité ; ATF 108 Ia 69 consid. 2c ; TF 6B_558/2021 précité consid. 3.1 ; TF 6B_511/2011 précité consid. 2.1). Une partie de la doctrine admet que des motifs familiaux (décès ou maladie d’un proche), patrimoniaux ou professionnels (liquidation d’une affaire importante et urgente) puissent, à certaines conditions, justifier une interruption de peine. Les auteurs de ce courant insistent néanmoins sur le fait que de tels cas doivent rester exceptionnels, la loi prévoyant divers aménagements dans l’exécution de la peine pour résoudre ce genre de difficultés. Les inconvénients personnels et économiques sont cependant des conséquences normales de tout emprisonnement, de sorte qu’une interruption pour l’un de ces motifs ne se justifie que difficilement (Bendani, in : Moreillon et al. [éd.], Commentaire romand, Code pénal I, 2 e éd., Bâle 2021, nn. 20 ss ad art. 92 CP et réf. cit.). En présence d'un motif grave dans le sens décrit ci-dessus, l'autorité doit procéder à une pesée des intérêts tenant compte non seulement des aspects médicaux, mais également de la nature et de la gravité des actes ayant justifié la peine, de la durée de celle-ci et de l'intérêt de la société à l'exécution ininterrompue de la peine (ATF 106 IV 321 consid. 7 ; TF 6B_753/2021 du 9 février 2022 consid. 3.2.2 et réf. cit. ; TF 6B_504/2013 du 13 septembre 2013 consid. 2.1.3). L'interruption de l'exécution ne doit en principe intervenir en principe qu'à titre subsidiaire et ne peut ainsi pas être ordonnée si d'autres possibilités sont envisageables, en particulier si d'autres formes d'exécution se révèlent suffisantes et adaptées (ATF 106 IV 321 précité consid. 7a ; TF 6B_753/2021 précité et réf. cit. ; Bendani, in : Moreillon et al. [éd.], Commentaire romand, op. cit., n. 5 ad art. 92 CP). L’art. 19 al. 1 let. k LEP prévoit que l’OEP est compétent pour autoriser le report de l’exécution de la peine.</w:t>
      </w:r>
    </w:p>
    <w:p>
      <w:r>
        <w:rPr>
          <w:b/>
        </w:rPr>
        <w:t>E. 2.3</w:t>
      </w:r>
    </w:p>
    <w:p>
      <w:r>
        <w:t>En l’espèce, les circonstances invoquées par le recourant sont très loin de constituer un motif grave justifiant de reporter l'exécution de la peine au sens de la jurisprudence rappelée ci-dessus. Du reste, hormis le fait qu’il exerce une garde partagée sur ses enfants – ce qui résulte d’une convention passée le 1 er septembre 2022 qui a été homologuée le 30 novembre 2022 pour valoir modification du jugement de divorce par la Juge suppléante du Tribunal de Monthey, les circonstances en cause ne sont pas étayées. Le recourant est ainsi exposé au plus à des inconvénients qui sont inhérents à toute exécution d’une peine privative de liberté. Les conditions d’un ajournement ne sont donc clairement pas remplies. On relève que l’autorité d’exécution s’est déjà montrée très bienveillante à l’égard du recourant en acceptant de reporter l’exécution de sa peine de trois mois et demi, de sorte qu’il a obtenu un laps de temps complémentaire non négligeable pour s’organiser, en plus des trois mois intervenus entre le premier ordre d’exécution de l’OEP du 24 juillet 2023 et le 17 octobre 2023, date d’exécution initiale fixée par cette autorité. Dans ces conditions, l’OEP était parfaitement fondé à refuser à P.________ le report d’exécution de sa peine privative de liberté, les conditions de l’art. 92 CP n’étant manifestement pas réalisées en l’espèce.</w:t>
      </w:r>
    </w:p>
    <w:p>
      <w:r>
        <w:rPr>
          <w:b/>
        </w:rPr>
        <w:t>E. 3</w:t>
      </w:r>
    </w:p>
    <w:p>
      <w:r>
        <w:t>Il résulte de ce qui précède que le recours interjeté par P.________, manifestement mal fondé, doit être rejeté sans échange d’écritures (art. 390 al. 2 CPP) et la décision entreprise confirmée. Vu le sort du recours, les frais de la procédure, constitués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7 août 2023 est confirmée. III. Les frais d’arrêt, par 990 fr. (neuf cent nonante francs), sont mis à la charge de P.________. IV. L’arrêt est exécutoire. La présidente :               La greffière : Du Le présent arrêt, dont la rédaction a été approuvée à huis clos, est notifié, par l'envoi d'une copie complète, à : - M. P.________,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