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70/2015/SNR vom 2. Dezember 2015</w:t>
      </w:r>
    </w:p>
    <w:p>
      <w:r>
        <w:t>VD Tribunal cantonal, 2015-12-02, FR</w:t>
      </w:r>
    </w:p>
    <w:p>
      <w:r>
        <w:rPr>
          <w:b/>
        </w:rPr>
        <w:t xml:space="preserve">Quelle: </w:t>
      </w:r>
      <w:r>
        <w:t>https://mcp.opencaselaw.ch/entscheid/vd_findinfo_70_2015_SNR</w:t>
      </w:r>
    </w:p>
    <w:p>
      <w:r>
        <w:t>FR: VD_FINDINFO 70/2015/SNR du 2 décembre 2015</w:t>
      </w:r>
    </w:p>
    <w:p>
      <w:r>
        <w:t>IT: VD_FINDINFO 70/2015/SNR del 2 dicembre 2015</w:t>
      </w:r>
    </w:p>
    <w:p>
      <w:pPr>
        <w:pStyle w:val="Heading2"/>
      </w:pPr>
      <w:r>
        <w:t>Regeste</w:t>
      </w:r>
    </w:p>
    <w:p>
      <w:r>
        <w:t>RESPONSABILITÉ CAUSALE, DÉTENTEUR DE VÉHICULE, FORCE MAJEURE, FAUTE GRAVE, FARDEAU DE LA PREUVE, LÉGITIMATION ACTIVE ET PASSIVE | 51 LCR, 58 LCR, 59 LCR, 65 LCR, 76 LCR, 14 OCR, 36 al. 1 OCR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