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706 vom 27. September 2022</w:t>
      </w:r>
    </w:p>
    <w:p>
      <w:r>
        <w:t>VD Tribunal cantonal, 2022-09-27, FR</w:t>
      </w:r>
    </w:p>
    <w:p>
      <w:r>
        <w:rPr>
          <w:b/>
        </w:rPr>
        <w:t xml:space="preserve">Quelle: </w:t>
      </w:r>
      <w:r>
        <w:t>https://mcp.opencaselaw.ch/entscheid/vd_findinfo_706___________</w:t>
      </w:r>
    </w:p>
    <w:p>
      <w:r>
        <w:t>FR: VD_FINDINFO 706 du 27 septembre 2022</w:t>
      </w:r>
    </w:p>
    <w:p>
      <w:r>
        <w:t>IT: VD_FINDINFO 706 del 27 settembre 2022</w:t>
      </w:r>
    </w:p>
    <w:p>
      <w:pPr>
        <w:pStyle w:val="Heading2"/>
      </w:pPr>
      <w:r>
        <w:t>Regeste</w:t>
      </w:r>
    </w:p>
    <w:p>
      <w:r>
        <w:t>DÉTENTION PROVISOIRE, RISQUE DE FUITE | 221 al. 1 let. a CPP (CH), 227 CPP (CH)</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3.1</w:t>
      </w:r>
    </w:p>
    <w:p>
      <w:r>
        <w:t>Dans un premier grief, le recourant fait valoir que l’état de fait retenu par le premier juge est « pour ainsi dire inexistant » et conteste l’existence de soupçons suffisants.</w:t>
      </w:r>
    </w:p>
    <w:p>
      <w:r>
        <w:rPr>
          <w:b/>
        </w:rPr>
        <w:t>E. 3.2</w:t>
      </w:r>
    </w:p>
    <w:p>
      <w:r>
        <w:t>Conformément à la jurisprudence rappelée ci-dessus, il n’appartient pas au juge de la détention d’examiner en détail tous les éléments à charge et à décharge et il ne sert donc à rien de mettre en balance de manière approfondie les différentes versions présentées. Ce qui est déterminant, c’est la présence d’indices concrets. Or, contrairement à ce que soutient le recourant, sa blessure au bras et la trace de son ADN sur le sein de la plaignante vont clairement dans le sens des déclarations de cette dernière. En outre, à ce stade, la plaignante apparaît pleinement crédible et son récit correspond aux constatations des médecins qui ont confirmé, dans leur rapport du 5 août 2022, que la plaignante présentait une zone d’abrasion à la face interne de la lèvre supérieure, deux petites ecchymoses au niveau du cou ainsi que des ecchymoses et dermabrasions au niveau des membres et des seins, lésions qui pouvaient être la conséquence d’une altercation physique telle que l’avait rapportée la précitée (P. 23, p. 8-9). Cela est corroboré par la déposition du chauffeur de taxi, qui a clairement constaté le désarroi dans lequel se trouvait la plaignante lorsqu’il l’avait croisée dans la rue. Quant au témoignage de G.________, selon lequel la plaignante aurait un caractère très fort et aimerait raconter des histoires pour se rendre intéressante, il n’est pas déterminant au vu des indices concrets précités. Non seulement cette personne n’était pas présente lors des faits mais, de surcroît, cet argument paraît peu pertinent car, précisément, le tableau lésionnel émanant du CURML évoque bien une hétéro–agression avec une vive réaction de la plaignante. Cela est d’ailleurs confirmé par la trace de morsure présentée par le recourant. En l’état, on peut en déduire que la plaignante s’est énergiquement débattue. Compte tenu de ce qui précède, c’est à raison que le tribunal de première instance a retenu l’existence de soupçons suffisants au sens de l’art. 221 al. 1 let. a CPP.</w:t>
      </w:r>
    </w:p>
    <w:p>
      <w:r>
        <w:rPr>
          <w:b/>
        </w:rPr>
        <w:t>E. 4</w:t>
      </w:r>
    </w:p>
    <w:p>
      <w:r>
        <w:t>Le recourant revient sur le risque de fuite retenu dans l’ordonnance entreprise. Il fonde son argumentation sur la prémisse qu’aucun soupçon suffisant n’existerait à son encontre. Comme on l’a vu, cet argument tombe à faux (cf. consid. 3.3 supra). Au demeurant, et compte tenu de la peine à laquelle le recourant est exposé, c’est à raison que le tribunal a retenu un risque concret de fuite au motif que ce dernier est un ressortissant nigérian, en situation illégale en Suisse et sans attache avec notre pays. Les autres arguments formulés par le recourant, s’agissant des risques de collusion et de réitération sont sans pertinence dans la mesure où ces éléments n’ont pas été examinés par le tribunal de première instance.</w:t>
      </w:r>
    </w:p>
    <w:p>
      <w:r>
        <w:rPr>
          <w:b/>
        </w:rPr>
        <w:t>E. 5</w:t>
      </w:r>
    </w:p>
    <w:p>
      <w:r>
        <w:t>Pour le surplus, la durée de la détention provisoire ordonnée demeure proportionnée à la peine susceptible d’être prononcée en cas de condamnation (art. 212 al. 3 CPP). Aucune mesure de substitution à la détention n’apparaît susceptible de pallier le risque de fuite constaté, le recourant n’en proposant du reste aucune.</w:t>
      </w:r>
    </w:p>
    <w:p>
      <w:r>
        <w:rPr>
          <w:b/>
        </w:rPr>
        <w:t>E. 6</w:t>
      </w:r>
    </w:p>
    <w:p>
      <w:r>
        <w:t>En définitive, le recours, manifestement mal fondé, doit être rejeté sans échange d'écritures (art. 390 al. 2 CPP) et l'ordonnance attaquée confirmée. Les frais de la procédure de recours sont constitués de l'émolument d'arrêt, par 770 fr. (art. 20 al. 1 TFIP [Tarif des frais de procédure et indemnités en matière pénale du 28 septembre 2010 ; BLV 312.03.1]), et des frais imputables à la défense d'office (art. 422 al. 1 et 2 let. a CPP), fixés à 360 fr. (2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30, soit à 396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 er septembre 2022 est confirmée. III. L’indemnité allouée au défenseur d’office de L.________ est fixée à 396 fr. (trois cent nonante-six francs), TVA et débours compris. IV. Les frais d'arrêt, par 770 (sept cent septante francs), ainsi que l'indemnité allouée au défenseur d'office de L.________, par 396 fr. (trois cent nonante-six francs), sont mis à la charge de ce dernier. V. Le remboursement à l'Etat de l’indemnité d’office allouée au chiffre III ci-dessus ne sera exigible que pour autant que la situation financière de L.________ le permette. VI. L’arrêt est exécutoire. Le vice-président : La greffière : Du Le présent arrêt, dont la rédaction a été approuvée à huis clos, est notifié, par l'envoi d'une copie complète, à : - Me Laura Emonet, avocate (pour L.________), - Ministère public central, et communiqué à : ‑ Mme la Présidente du Tribunal des mesures de contrainte, - Mme la Procureure de l’arrondissement de l’Est vaudois, - Service de la population (5.5.1995),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