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703 vom 26. September 2022</w:t>
      </w:r>
    </w:p>
    <w:p>
      <w:r>
        <w:t>VD Tribunal cantonal, 2022-09-26, FR</w:t>
      </w:r>
    </w:p>
    <w:p>
      <w:r>
        <w:rPr>
          <w:b/>
        </w:rPr>
        <w:t xml:space="preserve">Quelle: </w:t>
      </w:r>
      <w:r>
        <w:t>https://mcp.opencaselaw.ch/entscheid/vd_findinfo_703___________</w:t>
      </w:r>
    </w:p>
    <w:p>
      <w:r>
        <w:t>FR: VD_FINDINFO 703 du 26 septembre 2022</w:t>
      </w:r>
    </w:p>
    <w:p>
      <w:r>
        <w:t>IT: VD_FINDINFO 703 del 26 settembre 2022</w:t>
      </w:r>
    </w:p>
    <w:p>
      <w:pPr>
        <w:pStyle w:val="Heading2"/>
      </w:pPr>
      <w:r>
        <w:t>Regeste</w:t>
      </w:r>
    </w:p>
    <w:p>
      <w:r>
        <w:t>RESTITUTION DU DÉLAI, REJET DE LA DEMANDE, OPPOSITION{PROCÉDURE}, ORDONNANCE PÉNALE, AVIS DE RETRAIT, LA POSTE | 94 CPP (CH)</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la prévenue qui a qualité pour recourir (art. 382 al. 1 CPP) et dans les formes prescrites (art. 385 al. 1 CPP), le recours d’A. est recevable.</w:t>
      </w:r>
    </w:p>
    <w:p>
      <w:r>
        <w:rPr>
          <w:b/>
        </w:rPr>
        <w:t>E. 2.1</w:t>
      </w:r>
    </w:p>
    <w:p>
      <w:r>
        <w:t>La recourante fait valoir qu’elle aurait été empêchée sans faute de sa part de former opposition à l’ordonnance pénale du 2 mars 2022, dans le délai de dix jours dès sa notification, en raison d’un vol de courrier. Elle n’aurait ainsi pas reçu l’avis de la Poste l’invitant à retirer le recommandé. Elle n’aurait pas non plus reçu l’ordonnance de classement qui lui a été envoyée le 16 février 2022 sous pli simple, laquelle faisait mention du prononcé d’une ordonnance pénale à son encontre. A l’appui de ses allégations, A. expose avoir été régulièrement victime de vols de courrier, faits en raison desquels elle aurait déposé une plainte pénale le 23 août 2018 auprès du Ministère public de l’arrondissement de Lausanne (P. 37/3 annexe 2 au recours). Elle se réfère également à une expertise médicale psychiatrique du 28 juin 2019 la concernant établie par le Dr [...], à la demande d’une compagnie d’assurance, qu’elle a produite (P. 4/23 p. 14) et dans laquelle l’expert indique qu’elle souffre d’un épisode dépressif sévère, sans symptômes psychotiques, « trouble réactionnel suite à un harcèlement psychologique subit de la part de ses voisins (vol de courrier, plaintes pénales, faux témoignages et menaces) selon l’anamnèse ». Enfin, la recourante soutient avoir seulement indiqué, lorsqu’elle s’est entretenue par téléphone avec le greffe du Ministère public le 31 mars 2022, qu’elle avait été victime d’un vol de courrier. Elle conteste en revanche avoir dit, dans un premier temps, qu’elle n’avait pas eu le temps d’aller retirer le pli recommandé car elle devait subvenir à ses besoins.</w:t>
      </w:r>
    </w:p>
    <w:p>
      <w:r>
        <w:rPr>
          <w:b/>
        </w:rPr>
        <w:t>E. 2.2</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La restitution de délai suppose que la partie ou son mandataire a été empêché d'agir sans faute dans le délai fixé (ATF 143 I 284 consid. 1.3 ; TF 6B_401/2019 du 1 er juillet 2019 consid. 2.3 ; TF 6B_110/2016 du 27 juillet 2016 consid. 2.2, non publié in ATF 142 IV 286 ).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6B_517/2021 du 16 juin 2021 consid. 1.1.1 ; TF 6B_1265/2020 du 8 janvier 2021 consid. 1.1 ; TF 6B_401/2019 précité et les références citées).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(ATF 96 II 262 consid. 1a ; TF 1C_110/2008 du 19 mai 2008 ; Moreillon/Parein-Reymond, Code de procédure pénale, Petit commentaire, 2 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Lorsqu'un envoi expédié par lettre signature n'a pas été retiré dans les sept jours à compter de la tentative infructueuse de remise du pli, il est réputé notifié si la personne concernée devait s'attendre à une telle remise (art. 85 al. 4 let. a CPP). Pour les envois par lettre signature, il existe une présomption réfragable que l’employé de la Poste a dûment déposé l’avis dans la boîte aux lettres ou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La conclusion, tirée de la présomption de distribution, que la preuve du contraire n’a pas été apportée relève de l’appréciation des preuves (ATF 142 IV 201 consid. 2.3 ; TF 6B_517/2021 du 16 juin 2021 consid. 1.1.2 ; TF 6B_940/2013 du 31 mars 2014 consid. 2.1.4 ; TF 2C_128/2012 du 29 mai 2012 consid. 2.4). L’exposé des faits par le destinataire qui se prévaut d’une erreur de distribution, et dont on peut partir du principe qu’il est de bonne foi, doit être clair et présenter une certaine vraisemblance (ATF 142 III 599 consid. 2.4.1). Des considérations purement hypothétiques, selon lesquelles l’envoi aurait été inséré dans la boîte aux lettres d’un voisin ou d’un tiers, ne sont pas suffisantes (TF 8C_61/2019 du 17 avril 2019 consid. 4.2.1 ; TF 8C_482/2018 du 16 novembre 2018 consid. 4.3 ; TF 9C_90/2015 du 2 juin 2015 consid. 3.2 et les arrêts cités).</w:t>
      </w:r>
    </w:p>
    <w:p>
      <w:r>
        <w:rPr>
          <w:b/>
        </w:rPr>
        <w:t>E. 2.3</w:t>
      </w:r>
    </w:p>
    <w:p>
      <w:r>
        <w:t>La Chambre de céans observe, en premier lieu, que le procès-verbal des opérations est un titre qui fait foi de son contenu tant que son inexactitude n’est pas démontrée (cf. 9 CC et art. 76 al. 3 CPP ; Moreillon/Parein-Reymond, op. cit., n. 2, Remarques préliminaires). Il ne suffit donc pas à la recourante d’affirmer que la verbalisation du 31 mars 2022 est erronée pour prouver son inexactitude. Or, elle n’avance aucun argument qui permettrait de remettre en doute le contenu clair du procès-verbal des opérations. Il y a donc lieu de retenir que la recourante, de son propre aveu, a bien reçu l’avis de la Poste.</w:t>
      </w:r>
    </w:p>
    <w:p>
      <w:r>
        <w:rPr>
          <w:b/>
        </w:rPr>
        <w:t>E. 2.4</w:t>
      </w:r>
    </w:p>
    <w:p>
      <w:r>
        <w:t>A supposer même qu’A. n’ait pas admis avoir reçu l’avis de la Poste – ce qui n’est pas le cas comme retenu ci-dessus –, elle ne rend de toute manière pas vraisemblable qu’elle aurait été victime de vols de courrier. En effet, le Ministère public n’a pas trouvé trace de la plainte pénale du 23 août 2018 qui aurait été déposée par celle-ci en raison de vols de courrier répétés. En tout état de cause, dans la copie de la plainte produite, il est fait état de vols de courrier dans la boîte aux lettres du commerce [...] de la recourante situé rue [...] et non à son domicile, où l’ordonnance pénale a été notifiée. Au demeurant, la recourante évoque seulement dans dite plainte qu’il lui « semble » que du courrier n’arrive jamais à son domicile sans faire état de vols. Par ailleurs, parmi les dix plaintes déposées par ou contre la recourante, aucune ne mentionne un vol de courrier. S’agissant de l’expertise psychiatrique produite, ce document ne rend pas non plus vraisemblable un vol de courrier au domicile de la recourante. En effet, l’expert ne fait que relater les plaintes d’A. en relation avec des vols de courrier, des plaintes, des faux témoignages et des menaces qu’elle subirait de la part de ses voisins. L’expert a toutefois pris soin d’ajouter à chaque reprise « selon l’anamnèse », ce qui démontre que ces accusations reposent seulement sur les propres déclarations de l’intéressée. Du reste, les plaintes de la recourante n’ont pas abouti (cf. entre autres les arrêts CREP 6 août 2015/530 et CREP 26 avril 2019/335). En définitive, même si l’expertise psychiatrique produite fait état de vols de courrier, il apparaît que ces allégations de vols s’inscrivent dans le contexte d’un conflit de voisinage durant plusieurs années, sans que ces allégations ne soient confirmées par des indices sérieux. Les faits exposés par la recourante pour tenter de démontrer qu’elle n’aurait pas reçu l’avis de retrait de la Poste ne présentent ainsi pas le degré de vraisemblance requis par la jurisprudence rappelée au considérant 2.2 supra .</w:t>
      </w:r>
    </w:p>
    <w:p>
      <w:r>
        <w:rPr>
          <w:b/>
        </w:rPr>
        <w:t>E. 2.5</w:t>
      </w:r>
    </w:p>
    <w:p>
      <w:r>
        <w:t>Compte tenu de ce qui précède, il est sans pertinence de déterminer si A. a ou non reçu l’ordonnance de classement du 16 février 2022 envoyée sous pli simple. Pour les mêmes motifs, c’est en vain que la recourante se prévaut d’avoir été induite en erreur en raison des renseignements qui lui ont été donnés par le greffe du Ministère public le 31 mars 2022 – soit que l’envoi d’une copie de l’ordonnance pénale ne faisait pas courir un nouveau délai d’opposition –, ce qui l’aurait empêché sans sa faute de former opposition dans le délai de dix jours dès la réception du deuxième envoi de l’ordonnance pénale. Les conditions de l'art. 94 al. 1 CPP n’étant pas réunies, c’est donc à bon droit que le Ministère public a rejeté la demande de restitution de délai présentée par A..</w:t>
      </w:r>
    </w:p>
    <w:p>
      <w:r>
        <w:rPr>
          <w:b/>
        </w:rPr>
        <w:t>E. 3</w:t>
      </w:r>
    </w:p>
    <w:p>
      <w:r>
        <w:t>Au vu de ce qui précède, le recours, manifestement mal fondé, doit être rejeté sans échange d’écritures (art. 390 al. 2 CPP) et l’ordonnance entreprise confirmée. Vu le sort du recours, les frais de la procédure, constitués en l’espèce du seul 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26 juillet 2022 est confirmée. III. Les frais d’arrêt, par 990 fr. (neuf cent nonante francs), sont mis à la charge d’A.. IV. L’arrêt est exécutoire. La présidente :               La greffière : Du Le présent arrêt, dont la rédaction a été approuvée à huis clos, est notifié, par l'envoi d'une copie complète, à : - Me Daniel Trajilovic, avocat (pour A.), - Ministère public central, et communiqué à : - Mme la Procureure du Ministère public de l’arrondissement de Lausanne, - M.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