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696 vom 18. September 2023</w:t>
      </w:r>
    </w:p>
    <w:p>
      <w:r>
        <w:t>VD Tribunal cantonal, 2023-09-18, FR</w:t>
      </w:r>
    </w:p>
    <w:p>
      <w:r>
        <w:rPr>
          <w:b/>
        </w:rPr>
        <w:t xml:space="preserve">Quelle: </w:t>
      </w:r>
      <w:r>
        <w:t>https://mcp.opencaselaw.ch/entscheid/vd_findinfo_696___________</w:t>
      </w:r>
    </w:p>
    <w:p>
      <w:r>
        <w:t>FR: VD_FINDINFO 696 du 18 septembre 2023</w:t>
      </w:r>
    </w:p>
    <w:p>
      <w:r>
        <w:t>IT: VD_FINDINFO 696 del 18 settembre 2023</w:t>
      </w:r>
    </w:p>
    <w:p>
      <w:pPr>
        <w:pStyle w:val="Heading2"/>
      </w:pPr>
      <w:r>
        <w:t>Regeste</w:t>
      </w:r>
    </w:p>
    <w:p>
      <w:r>
        <w:t>ADMISSION DE LA DEMANDE, VOIES DE FAIT, DROIT D'ÊTRE ENTENDU, INJURE, EXEMPTION DE PEINE, ORDONNANCE DE NON-ENTRÉE EN MATIÈRE | 126 al. 1 CP, 177 CP, 29 al. 2 Cst., 310 CPP (CH)</w:t>
      </w:r>
    </w:p>
    <w:p>
      <w:pPr>
        <w:pStyle w:val="Heading2"/>
      </w:pPr>
      <w:r>
        <w:t>Erwägungen</w:t>
      </w:r>
    </w:p>
    <w:p>
      <w:r>
        <w:rPr>
          <w:b/>
        </w:rPr>
        <w:t>E. 1</w:t>
      </w:r>
    </w:p>
    <w:p>
      <w:r>
        <w:t>CPP), contre une ordonnance de non-entrée en matière rendue par le ministère public (art. 393 al. 1 let. a CPP), par le plaignant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w:t>
      </w:r>
    </w:p>
    <w:p>
      <w:r>
        <w:rPr>
          <w:b/>
        </w:rPr>
        <w:t>E. 2</w:t>
      </w:r>
    </w:p>
    <w:p>
      <w:r>
        <w:t>avril 2015 consid. 4), le fait de pousser une personne avec force à l'aide des deux mains pour la faire sortir d'un appartement (TF 6B_1288/2016 du 8 novembre 2017 consid. 2), le fait de saisir le bras d'une personne et la retenir par la force (TF 6B_693/2017 du 24 août 2017 consid. 2.1). De simples bousculades telles qu'elles sont fréquentes dans les foules ou dans les files d'attente ne dépassent pas le stade de ce qui est socialement toléré et ne représentent dès lors pas des voies de fait (ATF 117 IV 14 consid. 2a/bb). La question de savoir si l'atteinte dépasse ce qui est socialement toléré s'apprécie au regard des circonstances propres à chaque situation (ATF 117 IV 14 consid. 2a/cc).</w:t>
      </w:r>
    </w:p>
    <w:p>
      <w:r>
        <w:rPr>
          <w:b/>
        </w:rPr>
        <w:t>E. 2.1</w:t>
      </w:r>
    </w:p>
    <w:p>
      <w:r>
        <w:t>Dans un grief d’ordre formel, le recourant reproche au Ministère public d’avoir insuffisamment motivé son ordonnance, notamment au niveau juridique. Il soutient qu’il n’est pas possible de comprendre l’argumentation juridique retenue, notamment eu égard au fait que la prévenue a admis l’avoir poussé au niveau du torse et l’avoir probablement injurié sous l’effet de l’énervement. Sur le fond, le recourant invoque une violation des art. 6, 10 et 310 CPP, au motif en substance que le Ministère public aurait retenu que les faits dénoncés auraient été provoqués par le recourant et ce, en se fondant sur les seules déclarations de Q.________, alors qu’il conteste pour sa part toutes les accusations portées à son encontre. Selon lui, des mesures d’instruction auraient dû être mises en œuvre. A cet égard, il a formellement requis l’audition d’R.________, celle d’un dénommé [...], ainsi qu’une audition de confrontation entre lui-même et Q.________. Il soutient par ailleurs qu’il n’était pas admissible pour le Ministère public de considérer que les éléments constitutifs de l’infraction de voies de fait et d’injure n'étaient manifestement pas réunis.</w:t>
      </w:r>
    </w:p>
    <w:p>
      <w:r>
        <w:rPr>
          <w:b/>
        </w:rPr>
        <w:t>E. 2.2.1</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 ATF 139 IV 179 consid. 2.2), de manière que l'intéressé puisse se rendre compte de la portée de celle-ci et l'attaquer en connaissance de cause (ATF 143 IV 40 consid. 3.4.3 ; ATF 141 IV 249 consid. 1.3.1 ; ATF 139 IV 179 consid. 2.2 ; TF 6B_1169/2022 du 30 juin 2023 consid. 1.1). La seule référence à la norme légale est insuffisante sous l'angle des exigences de motivation de la décision (CREP 20 mars 2023/186 consid. 2.3 ; CREP 25 mars 2020/204 consid. 2.2). Le droit d’être entendu est une garantie constitutionnelle de caractère formel, dont la violation doit entraîner l’annulation de la décision, indépendamment des chances de succès du recours sur le fond (ATF 143 IV 380 consid. 1.4.1 ; ATF 142 II 218 consid. 2.8.1).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 La Chambre des recours pénale dispose d'un pouvoir d'examen complet en fait et en droit, permettant de guérir un tel vice procédural (art. 389 al. 3 et 391 al. 1 CPP ; CREP 18 août 2023/652 consid. 2.3 ; CREP 29 juin 2023/521 consid. 3.2).</w:t>
      </w:r>
    </w:p>
    <w:p>
      <w:r>
        <w:rPr>
          <w:b/>
        </w:rPr>
        <w:t>E. 2.2.2</w:t>
      </w:r>
    </w:p>
    <w:p>
      <w:r>
        <w:t>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Cette disposition doit être appliquée conformément à l'adage « in dubio pro duriore », qui découle du principe de la légalité (art. 5 al. 1 Cst. [Constitution fédérale de la Confédération suisse du 18 avril 1999 ; RS 101] et art.</w:t>
      </w:r>
    </w:p>
    <w:p>
      <w:r>
        <w:rPr>
          <w:b/>
        </w:rPr>
        <w:t>E. 2.2.3</w:t>
      </w:r>
    </w:p>
    <w:p>
      <w:r>
        <w:t>A teneur de l’art. 126 al. 1 CP, celui qui se sera livré sur une personne à des voies de fait qui n’auront causé ni lésion corporelle ni atteinte à la santé sera,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L'atteinte au sens de l'art. 126 CP présuppose une certaine intensité (TF 6B_396/2022 du 20 décembre 2022 consid. 3.1 ; TF 6B_979/2021 du 11 avril 2022 consid. 6.1 ; TF 6B_1191/2019 du 4 décembre 2019 consid. 3.1). Peuvent être qualifiées de voies de fait, une gifle, un coup de poing ou de pied, de fortes bourrades avec les mains ou les coudes, l'arrosage d'une personne au moyen d'un liquide, l'ébouriffage d'une coiffure soigneusement élaborée ou encore un « entartage » et la projection d'objets durs d'un certain poids (TF 6B_396/2022 du 20 décembre 2022 consid. 3.1 et les arrêts cités), le renversement dans un lieu public d'un thé chaud et d'un sucrier sur la tête de la victime (TF 6B_1009/2014 du</w:t>
      </w:r>
    </w:p>
    <w:p>
      <w:r>
        <w:rPr>
          <w:b/>
        </w:rPr>
        <w:t>E. 2.2.4</w:t>
      </w:r>
    </w:p>
    <w:p>
      <w:r>
        <w:t>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(ATF 132 IV 112 consid. 2.1 ; TF 6B_512/2017 du 12 février 2018 consid. 3.1).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(TF 6B_557/2013 du 12 septembre 2013, consid. 1.1 et les références citées, publié in SJ 2014 I 293). Pour apprécier si une déclaration est attentatoire à l'honneur, il faut procéder à une interprétation objective selon le sens que le destinataire non prévenu devait, dans les circonstances d'espèce, lui attribuer (ATF 137 IV 313 consid. 2.1.3). Les mêmes termes n'ont donc pas nécessairement la même portée suivant le contexte dans lequel ils sont employés (ATF 118 IV 248 consid. 2b). Le juge pourra exempter le délinquant de toute peine si l’injurié a directement provoqué l’injure par une conduite répréhensible (art. 177 al. 2 CP). Le juge ne peut faire usage de cette faculté que si l'injure a consisté en une réaction immédiate à un comportement répréhensible de l'injurié, lequel peut consister en une provocation ou en tout autre comportement blâmable (ATF 117 IV 270 consid. 2c). La notion d'immédiateté doit être comprise comme une notion de temps dans le sens que l'auteur doit avoir agi sous le coup de l'émotion provoquée par la conduite répréhensible de l'injurié, sans avoir eu le temps de réfléchir tranquillement (ATF 83 IV 151). La conduite répréhensible au sens de l'art. 177 al. 2 CPP ne constitue pas nécessairement une infraction pénale (TF 6B_238/2022 du 10 janvier 2023 consid. 2.5). La doctrine et la jurisprudence citent comme exemples de comportements répréhensibles la chasse dans une réserve de chasse (cf. ATF 117 IV 270), une conduite grossière en public (cf. ATF 117 IV 270 consid. 2c ; ATF 83 IV 151 ; TF 6B_87/2013 du 13 mai 2012 consid. 4.4), le dénigrement de l'ancienne maîtresse sous prétexte de préserver les intérêts de l'enfant (ATF 74 IV 98, 101), des reproches injustifiés (cf. Riklin, in Niggli/Wiprächtiger [éd.], Basler Kommentar, Strafrecht I, Art. 1-136 StGB, 4 e éd. 2019, n°23 ad art. 177 CPP et la référence citée) ou un stationnement gênant (cf. Riklin, op. cit. , n° 23 ad art. 177 CPP et la référence citée ; Trechsel/Lehmkuhl, Schweizerisches Strafgesetzbuch, Praxiskommentar, 4 e éd., 2021, n° 7 ad art. 177). Le juge pourra également exempter de toute peine le délinquant si l'injurié a riposté immédiatement par une injure ou par des voies de fait (art. 177 al.</w:t>
      </w:r>
    </w:p>
    <w:p>
      <w:r>
        <w:rPr>
          <w:b/>
        </w:rPr>
        <w:t>E. 2.2.5</w:t>
      </w:r>
    </w:p>
    <w:p>
      <w:r>
        <w:t>Aux termes de l’art. 8 al. 1 CPP, auquel renvoie l’art. 310 al. 1 let. c CPP, le Ministère public et les tribunaux renoncent à toute poursuite pénale lorsque le droit fédéral le prévoit, notamment lorsque les conditions visées aux art. 52, 53 et 54 CP sont remplies. Si la culpabilité de l’auteur et les conséquences de son acte sont peu importantes, l’autorité compétente renonce à le poursuivre, à le renvoyer devant le juge ou à lui infliger une peine (art. 52 CP).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w:t>
      </w:r>
    </w:p>
    <w:p>
      <w:r>
        <w:rPr>
          <w:b/>
        </w:rPr>
        <w:t>E. 2.3</w:t>
      </w:r>
    </w:p>
    <w:p>
      <w:r>
        <w:t>p. 309 s. ; TF 6B_1160/2022 du 1 er mai 2023, consid. 1.1.3 et la réf. citée). Une exemption de peine n'entre en ligne de compte que s'il n'y a aucune nécessité de punir (ATF 146 IV 297 consid. 2.3 ; ATF 135 IV 130 consid. 5.3.3). Le comportement de l'auteur doit, en comparaison avec des actes typiques tombant sous le coup de la même disposition légale, paraître globalement insignifiant – tant du point de vue de la faute que des conséquences de l'acte – de sorte que la nécessité d'une peine fait manifestement défaut (ATF 146 IV 297 consid. 2.3 ; TF 6B_368/2017 consid. 5.2). Le champ d’application de cette disposition est donc relativement restreint (ATF 135 IV 130 consid. 5.3.2 et les références citées).</w:t>
      </w:r>
    </w:p>
    <w:p>
      <w:r>
        <w:rPr>
          <w:b/>
        </w:rPr>
        <w:t>E. 2.3.1</w:t>
      </w:r>
    </w:p>
    <w:p>
      <w:r>
        <w:t>En l’espèce, le Ministère a exposé avoir acquis la conviction que les faits dénoncés avaient été provoqués par H.________, qui avait notamment traité Q.________ de « folle », après avoir « tagué » un mur avec le nom et le numéro de téléphone de la fille de la prévenue accompagnés d’inscriptions salaces. Or, ce faisant, il ne donne aucune explication – factuelle ou juridique – précise sur la réalisation des conditions posées à l’art. 177 al. 2 CP. En particulier, il n’indique pas quelle « conduite repréhensible » du recourant aurait précédé immédiatement la réaction de la prévenue. Il n’expose pas non plus les motifs pour lesquels il ne retient pas la réalisation de l’infraction de voies de fait. Dans ces conditions, c’est à raison que le recourant soutient que l’ordonnance souffre d’un défaut de motivation et que son droit d’être entendu a été violé.</w:t>
      </w:r>
    </w:p>
    <w:p>
      <w:r>
        <w:rPr>
          <w:b/>
        </w:rPr>
        <w:t>E. 2.3.2</w:t>
      </w:r>
    </w:p>
    <w:p>
      <w:r>
        <w:t>Sur le fond, Q.________ a reconnu, lors de son audition, avoir saisi le recourant au niveau du torse par les vêtements et l’avoir probablement injurié, sans se rappeler toutefois de la nature des injures proférées (PV aud. 2). De plus, elle a indiqué ne pas se rappeler si elle lui avait asséné ou non des coups de poing au niveau du torse ( ibidem ). Dans ces conditions, il ne parait pas possible de soutenir que les faits constitutifs des infractions d’injure et de voies de fait ne sont manifestement pas réunis. Le Ministère public ne le prétend du reste pas. Or, force est de relever que les faits permettant de retenir l’application de l’art. 177 al. 2 CP, sont contestés par le recourant. En outre, comme déjà dit, aucun motif n’a été indiqué permettant de comprendre les raisons pour lesquelles l’infraction de voies de fait n’a pas été envisagée. De plus, même si le recourant se serait contredit dans ses déclarations, le procureur ne pouvait pas, sans violer le principe « in dubio pro duriore », se fonder uniquement sur la version donnée par la prévenue, sans l’entendre et procéder à d’autres mesures d’instruction. Enfin, en indiquant avoir « acquis la conviction que [les faits dénoncés aient] été provoqués par H.________, (…), après avoir " tagué " un mur avec le nom et le numéro de téléphone de la fille de la prévenue accompagnés d’inscriptions salaces », le Ministère public suit le rapport de police. Il n’indique toutefois pas les bases objectives sur lesquelles reposerait sa conviction, alors que les faits en cause font l’objet d’une autre procédure. Enfin, par surabondance, il faut constater qu’une exemption de peine en application de l’art. 52 CP ne saurait à première vue entrer en ligne de compte. La culpabilité et les conséquences de l’acte de l’intimée ne sont pas de peu d’importance au regard des cas typiques revêtant la même qualification. En effet, l’usage des mots « petit con » et « sale merde » ne sont pas moins inacceptables dans le cadre d’interactions sociales ni moins susceptibles de perturber le recourant dans son sentiment de dignité et de bien-être que d’autres injures. Dans de telles circonstances, c’est à tort que le Ministère public a refusé d’entrer en matière sur la plainte du recourant. Le recours est donc bien fondé sur ce point et il appartiendra au Ministère public d’ouvrir une instruction et de procéder à toutes les mesures d’instruction qu’il estimera utiles, à savoir au moins l’audition des protagonistes.</w:t>
      </w:r>
    </w:p>
    <w:p>
      <w:r>
        <w:rPr>
          <w:b/>
        </w:rPr>
        <w:t>E. 3</w:t>
      </w:r>
    </w:p>
    <w:p>
      <w:r>
        <w:t>En définitive, le recours doit être admis et l’ordonnance de non-entrée en matière du 13 mars 2023 annulée, la cause étant renvoyée au Ministère public pour qu’il procède dans le sens des considérants. Vu l’issue de la cause, les frais de la procédure de recours, constitués en l’espèce du seul émolument d’arrêt (art. 422 al. 1 CPP), par 1’430 fr. (art. 20 al. 1 TFIP [tarif des frais de procédure et indemnités en matière pénale du 28 septembre 2010 ; BLV 312.03.1]), seront laissés à la charge de l’Etat (art. 428 al. 4 CPP). Le recourant, qui obtient gain de cause et qui a procédé avec l’assistance d’un mandataire professionnel, a droit, à la charge de l’Etat, à une juste indemnité pour les dépenses occasionnées par l’exercice raisonnable de ses droits dans le cadre de la procédure de recours, à la charge de l’Etat (art. 436 al. 3 CPP ; cf. TF 6B_1004/2015 du 5 mai 2016, consid. 1.3 ; Schmid, Schweizerische Strafprozessordnung, Praxiskommentar, 2e éd., 2023, n. 4 ad art. 436 CPP). Au vu du mémoire produit et de la nature de l’affaire, cette indemnité sera fixée à 1’050 fr., correspondant à 3h30 d’activité nécessaire d’avocat au tarif horaire de 300 fr. (cf. art. 26a al. 3 TFIP [tarif des frais de procédure et indemnités en matière pénale du 28 septembre 2010 ; BLV 312.03.1]). Il convient d’y ajouter des débours forfaitaires à concurrence de 2 % (cf. art. 19 al. 2 TDC [tarif des dépens en matière civile du 23 novembre 2010 ; BLV 270.11.6], applicable par renvoi de l’art. 26a al. 6 TFIP), par 21 fr., plus un montant correspondant à la TVA, par 82 fr. 50, soit 1’154 fr. au total en chiffres arrondis. Par ces motifs, la Chambre des recours pénale prononce : I. Le recours est admis. II. L’ordonnance du 13 mars 2023 est annulée. III. Le dossier de la cause est renvoyé au Ministère public de l’arrondissement de l’Est vaudois pour qu’il procède dans le sens des considérants. IV. Les frais d’arrêt, par 1'430 fr. (mille quatre cent trente francs), sont laissés à la charge de l’Etat. V. Une indemnité de 1'154 fr. (mille cent cinquante-quatre francs) est allouée à H.________ pour la procédure de recours, à la charge de l’Etat. VI. L’arrêt est exécutoire. La présidente :               La greffière : Du Le présent arrêt, dont la rédaction a été approuvée à huis clos, est notifié, par l'envoi d'une copie complète, à : - Me Ludovic Tirelli (pour H.________), - Ministère public central, et communiqué à : ‑ Monsieur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