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688 vom 25. September 2024</w:t>
      </w:r>
    </w:p>
    <w:p>
      <w:r>
        <w:t>VD Tribunal cantonal, 2024-09-25, FR</w:t>
      </w:r>
    </w:p>
    <w:p>
      <w:r>
        <w:rPr>
          <w:b/>
        </w:rPr>
        <w:t xml:space="preserve">Quelle: </w:t>
      </w:r>
      <w:r>
        <w:t>https://mcp.opencaselaw.ch/entscheid/vd_findinfo_688___________</w:t>
      </w:r>
    </w:p>
    <w:p>
      <w:r>
        <w:t>FR: VD_FINDINFO 688 du 25 septembre 2024</w:t>
      </w:r>
    </w:p>
    <w:p>
      <w:r>
        <w:t>IT: VD_FINDINFO 688 del 25 settembre 2024</w:t>
      </w:r>
    </w:p>
    <w:p>
      <w:pPr>
        <w:pStyle w:val="Heading2"/>
      </w:pPr>
      <w:r>
        <w:t>Regeste</w:t>
      </w:r>
    </w:p>
    <w:p>
      <w:r>
        <w:t>ESCROQUERIE, ORDONNANCE DE NON-ENTRÉE EN MATIÈRE, CONVENTION SUR LES EFFETS ACCESSOIRES DU DIVORCE | 276 al. 1 CC, 285 al. 1 CC, 146 al. 1 CP, 279 CPC (CH),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interjeté en temps utile devant l’autorité compétente et dans les formes prescrites (art. 385 et 396 CPP), par une partie plaignante qui a qualité pour recourir (art. 382 al. 1 CPP), est recevable. Il en va de même des pièces nouvelles, même déposées après le délai de recours (cf. art. 389 al. 3 CPP ; TF 1B_550/2022 du 17 novembre 2022 consid. 2), soit en l’espèce, le courrier du recourant du 18 septembre 2024 et ses annexes.</w:t>
      </w:r>
    </w:p>
    <w:p>
      <w:r>
        <w:rPr>
          <w:b/>
        </w:rPr>
        <w:t>E. 2.1</w:t>
      </w:r>
    </w:p>
    <w:p>
      <w:r>
        <w:t>Le recourant invoque qu’il existe des indices sérieux de commission d’une escroquerie. Il voit de tels indices dans le fait qu’aucune preuve ne lui a été apportée par son ex-épouse au sujet de la part de loyer contestée, ni au juge civil dans le cadre de la procédure de divorce. Il soutient que son ex-épouse n’a jamais indiqué que le logement dans lequel elle résidait depuis le mois de novembre 2023 était la propriété de son concubin et que si elle n’avait rien à cacher, elle aurait spontanément fourni ces éléments.</w:t>
      </w:r>
    </w:p>
    <w:p>
      <w:r>
        <w:rPr>
          <w:b/>
        </w:rPr>
        <w:t>E. 2.2.1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 CREP 13 mars 2024/186 consid. 2).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précité ; TF 6B_196/2020 précité). Dans le doute, lorsque les conditions d'une non-entrée en matière ne sont pas réalisées avec une certitude absolue, l'instruction doit être ouverte (ATF 143 IV 241 consid. 2.2.1 ; ATF 138 IV 86 consid. 4.1 ; ATF 137 IV 219 consid. 7 ; TF 7B_139/2023 du 25 juin 2024 consid. 3.2 ; TF 7B_24/2023, 7B_25/2023 du 22 février 2024 consid. 3.2 ; TF 7B_27/2023 du 12 septembre 2023 consid. 3.2). 2.2.2.1 Aux termes de l'art. 146 al. 1 CP (Code pénal suisse du 21 décembre 1937 ; RS 311.0), se rend coupable d'escroquerie et sera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 TF 6B_1092/2023 du 24 mai 2024 consid. 2.2).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135 IV 76 consid. 5.2 ; 128 IV 18 consid. 3a). L'escroquerie n'est consommée que s'il y a un dommage (TF 6B_645/2021 du 28 mars 2022 consid. 3.1 ; TF 6B_130/2016 du 21 novembre 2016 consid. 3.1 et les références citées). Selon la jurisprudence constante, le dommage se définit comme la diminution involontaire de la fortune nette ;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(ATF 142 IV 237 consid. 1.3.1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6B_1070/2023 du 21 août 2024 consid. 3.1 ; TF 6B_1092/2023 précité). 2.2.2.2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6B_807/2021, 6B_829/2021, 6B_836/2021, 6B_837/2021 du 7 juin 2022 consid. 4.1.2 ; CREP 17 novembre 2023/771 consid. 5.1). L'escroquerie au procès tombe sous le coup de l'art. 146 CP moyennant la réalisation de l'ensemble des éléments constitutifs objectifs et subjectifs de cette disposition. La typicité se conçoit sans réelle particularité (ATF 122 IV 197 consid. 2d ; TF 6B_807/2021 précité ; 6B_751/2018 du 2 octobre 2019 consid. 1.4.3 ; CREP 17 novembre 2023/771 précité). La figure de l'escroquerie au procès peut être envisagée, lorsque l'auteur trompe astucieusement le juge lors du procès, par exemple en produisant de faux documents (TF 6B_807/2021 précité ; 6B_941/2021 du 9 mars 2022 consid. 3.4.1 ; CREP 17 novembre 2023/771 précité). S'agissant des critères développés au sujet de l'élément d'astuce, il convient toutefois de prendre en considération les caractéristiques propres de la procédure en cause (ATF 122 IV 197 consid. 3d).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(TF 6B_807/2021 précité ; 6B_351/2020 du 25 novembre 2020 consid. 3.3.2 ; CREP 25 avril 2023/325 consid. 2.1.3.1).</w:t>
      </w:r>
    </w:p>
    <w:p>
      <w:r>
        <w:rPr>
          <w:b/>
        </w:rPr>
        <w:t>E. 2.2.3</w:t>
      </w:r>
    </w:p>
    <w:p>
      <w:r>
        <w:t>Selon l'art. 276 al. 1 CC (Code civil suisse du 10 décembre 1907 ; RS 210), l'entretien est assuré par les soins, l'éducation et des prestations pécuniaires. On distingue entre l'entretien en nature (« Naturalunterhalt »), l'entretien en espèces (« Barunterhalt ») et l'entretien lié à la prise en charge (« Betreuungsunterhalt »), ce dernier ayant été introduit dans le cadre de la révision du droit de l'entretien de l'enfant, entrée en vigueur le 1 er janvier 2017 (art. 285 al. 2 CC ; ATF 144 III 481 consid. 4.3). En vertu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celui-ci.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Les enfants ont le droit de recevoir une éducation et de bénéficier d'un niveau de vie qui correspondent à la situation des parents ; leurs besoins doivent également être calculés de manière plus large lorsque les parents bénéficient d'un niveau de vie plus élevé (ATF 120 II 285 consid. 3 ; TF 5A_874/2014 du 8 mai 2015 consid. 4.2 ; TF 5A_234/2011 du 21 novembre 2011 consid. 4.4.1 ; 5A_220/2010 du 20 août 2010 consid. 2.1). La loi ne prescrit pas de méthode de calcul particulière pour arrêter la contribution d'entretien (ATF 128 III 411 consid. 3.2.2). Dans la procédure applicable aux enfants mineurs dans les affaires de droit de la famille, le tribunal – y compris en appel (cf. parmi plusieurs : TF 5A_689/2023 du 19 août 2024 consid. 5.3.3 ; 5A_591/2023 du 22 février 2024 consid. 3.4 et la référence) – établit les faits d'office (art. 296 al. 1 CPC [Code de procédure civile du 19 décembre 2008 ; RS 272]). Dans cette procédure, le juge n'est lié ni par les faits allégués, ni par les faits admis par les parties (ATF 128 III 411 consid. 3.2.1 ; TF 5A_325/2022 du 8 juin 2023 consid. 7.2), de même qu'il n'est pas lié par leurs conclusions (ATF 143 III 361 consid. 7.3.1). Les conclusions communes relatives aux enfants peuvent toutefois prendre la forme d'une convention, au sens de l'art. 279 CPC. Selon l'art. 279 al. 1 CPC, le tribunal ratifie la convention sur les effets du divorce après s’être assuré que les parties l’ont conclue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Avant de ratifier la convention, le tribunal doit en outre s'assurer que les époux l'ont conclue de leur plein gré, c'est-à-dire qu'ils ont formé leur volonté et l'ont communiquée librement (TF 5A_683/2014 du 18 mars 2015 consid. 6.1 ; TF 5A_74/2014 du 5 août 2014 consid. 4.1 et les références citées). Cette condition présuppose qu'ils n'ont conclu leur convention ni sous l'emprise d'une erreur (art. 23 ss CO [Code des obligations ; RS 220] ; cf. TF 5A_688/2013 du 14 avril 2014 consid. 7 et 8), ni sous celle du dol (art. 28 CO) ou de la menace (art. 29 s. CO). Enfin, le tribunal doit s’assurer que la convention n’est pas sur le fond inéquitable, au sens de l’art. 279 al. 1 in fine CPC. Pour juger du caractère équitable ou non de celle-ci, il faut la comparer avec le jugement qui aurait été rendu en l'absence de transaction ; si la solution conventionnelle présente une différence immédiatement reconnaissable par rapport à une éventuelle décision de justice et qu'elle s'écarte de la réglementation légale sans être justifiée par des considérations d'équité, elle doit être qualifiée de « manifestement inéquitable ». Il faut toutefois garder à l'esprit que la transaction est précisément conclue pour éviter un examen complet des faits et de leur portée juridique, et que seule une disproportion évidente et immédiatement reconnaissable doit amener le juge à refuser la ratification (TF 5A_683/2014 précité consid. 5.1 ; TF 5A_772/2014 du 17 mars 2015 consid. 7.1 et 7.3 ; TF 5A_74/2014 du 5 août 2014 consid. 3.1 et les arrêts cités).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(TF 5A_683/2014 précité consid. 5.1 et la référence citée).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 TF 5A_683/2014 précité consid. 6.1 ; CACI 16 août 2024/363 consid. 4.1.1 ; CACI 15 juin 2023/240 consid. 3.1.2)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279ss CPC et ainsi réparer un éventuel défaut d'examen (TF 5A_270/2021 précité ; TF 5A_683/2014 précité consid. 6.1).</w:t>
      </w:r>
    </w:p>
    <w:p>
      <w:r>
        <w:rPr>
          <w:b/>
        </w:rPr>
        <w:t>E. 2.3</w:t>
      </w:r>
    </w:p>
    <w:p>
      <w:r>
        <w:t>En l’espèce, le recourant croit voir un indice de commission d’une tentative d’escroquerie au procès dans le fait que son ex-épouse n’a pas justifié – par la production d’une pièce – un des postes retenus dans la convention sur les effets du divorce pour les coûts directs de leur fils. Or, ce faisant, il perd de vue que c’est le propre d’une convention sur les effets du divorce, soumise à la ratification du juge au sens de l’art. 279 al. 1 CPC, que d’éviter une procédure de divorce complète avec une administration des preuves régie par les articles 277 et 296 CPC. Au demeurant, si le recourant avait un doute sur le bien-fondé du montant de 185 fr. 90 (et plus particulièrement sur les 41 fr. 90 d’augmentation par rapport à la situation qui prévalait selon l’ordonnance de mesures provisionnelles de 2020 avant le déménagement de son ex-épouse en novembre 2023), comme il le prétend maintenant, il lui incombait soit d’exiger de la partie adverse qu’elle produise ses éléments de preuve avant de signer la convention, soit de refuser de signer la convention sur les effets du divorce et de poursuivre la procédure de divorce en contradictoire. Or, le recourant a signé cette convention le 6 décembre 2023, alors qu’il était assisté d’un avocat et que les parties en avaient négocié les détails (cf. notamment P. 6/4). En outre, le fait que le concubin de son ex-épouse serait le propriétaire du logement dans lequel elle réside depuis le mois de novembre 2023 – fait qui ne ressort d’aucune pièce mais d’une affirmation non étayée du recourant – serait de toute manière sans portée, dès lors que cette circonstance n’exclut pas qu’elle participe au paiement d’une partie des frais afférents à ce logement. Enfin, la présidente a ratifié dans le jugement du 30 janvier 2024 la convention sur les effets du divorce. Elle a donc considéré, en application de l’art. 279 al. 1 CPC, qu’elle était claire et complète et que son contenu n’était pas inéquitable, notamment en rapport avec la situation du fils des parties. Certes, le recourant a déposé un appel contre le jugement ratifiant cette convention, mais il ressort de l’arrêt rendu par la Cour d’appel civile le 1 er juillet 2024 (qui est un fait notoire pour les parties à celui-ci) que ce dernier l’a retiré. Au vu de ce qui précède, le recourant ne rend pas plausible l’existence d’une quelconque manœuvre astucieuse de la part de B.W.________ dans le cadre de la procédure de divorce qui les a divisés au sujet du poste « part au loyer de la mère » de la convention sur les effets du divorce. Il se contente de suppositions au sujet de la fausseté du montant de 185 fr. 90, suppositions qu’il aurait pu dissiper avant la signature de la convention, voire dans le cadre de la procédure d’appel à laquelle il a renoncé. Dans ces conditions, il ne rend même pas vraisemblable que ce montant ne serait pas exact, ce qui n’aurait du reste pas suffit à rendre plausible l’existence d’une tromperie astucieuse, étant donné que la vérification de cette éventuelle inexactitude était possible et même aisée. C’est donc à bon droit que le Ministère public a rendu une ordonnance de non-entrée en matière, la commission d’une infraction pénale par B.W.________ étant manifestement exclue.</w:t>
      </w:r>
    </w:p>
    <w:p>
      <w:r>
        <w:rPr>
          <w:b/>
        </w:rPr>
        <w:t>E. 3</w:t>
      </w:r>
    </w:p>
    <w:p>
      <w:r>
        <w:t>En définitive, le recours de A.W.________, manifestement mal fondé, doit être rejeté et l’ordonnance du 8 mai 2024 confirmée. Vu le sort du recours, les frais de la procédure, constitués en l’espèce du seul émolument d’arrêt, par 1’210 fr. (art. 20 al. 1 TFIP [tarif des frais de procédure et indemnités en matière pénale du 28 septembre 2010 ; BLV 312.03.1]), seront mis à la charge du recourant, qui succombe (art. 428 al. 1 CPP). L'avance de frais de 770 fr. versée par le précité à titre de sûretés sera imputée sur les frais d'arrêt mis à sa charge (art. 7 TFIP), le solde en faveur de l’Etat s’élevant ainsi à 440 francs. Par ces motifs, la Chambre des recours pénale prononce : I. Le recours est rejeté. II. L’ordonnance du 8 mai 2024 est confirmée. III. Les frais d’arrêt, par 1’210 fr. (mille deux cent dix francs), sont mis à la charge de A.W.________. IV. Le montant de 770 fr. (sept cent septante francs) versé par A.W.________ à titre de sûretés est imputé sur les frais mis à sa charge au chiffre III ci-dessus, et le solde dû à l’Etat par celui-ci s’élève à 440 fr. (quatre cent quarante francs). V. L’arrêt est exécutoire. Le président :               La greffière : Du Le présent arrêt, dont la rédaction a été approuvée à huis clos, est notifié, par l'envoi d'une copie complète, à : - A.W.________, - Ministère public central, et communiqué à : ‑ M. le Procureur de l’arrondissement de La Côte, - B.W.________,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