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67/2012/PBH vom 30. Mai 2012</w:t>
      </w:r>
    </w:p>
    <w:p>
      <w:r>
        <w:t>VD Tribunal cantonal, 2012-05-30, FR</w:t>
      </w:r>
    </w:p>
    <w:p>
      <w:r>
        <w:rPr>
          <w:b/>
        </w:rPr>
        <w:t xml:space="preserve">Quelle: </w:t>
      </w:r>
      <w:r>
        <w:t>https://mcp.opencaselaw.ch/entscheid/vd_findinfo_67_2012_PBH</w:t>
      </w:r>
    </w:p>
    <w:p>
      <w:r>
        <w:t>FR: VD_FINDINFO 67/2012/PBH du 30 mai 2012</w:t>
      </w:r>
    </w:p>
    <w:p>
      <w:r>
        <w:t>IT: VD_FINDINFO 67/2012/PBH del 30 maggio 2012</w:t>
      </w:r>
    </w:p>
    <w:p>
      <w:pPr>
        <w:pStyle w:val="Heading2"/>
      </w:pPr>
      <w:r>
        <w:t>Regeste</w:t>
      </w:r>
    </w:p>
    <w:p>
      <w:r>
        <w:t>DROIT D'AUTEUR ET DROITS VOISINS, PRINCIPE DE LA CONFIANCE{INTERPRÉTATION DU CONTRAT} | 18 al. 1 CO, 16 LDA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et 25, 4 al. 2, 7, et 8 aTAV (tarif du 17 juin 1986 des honoraires d'avocat dus à titre de dépens, applicable par renvoi de l'art. 26 al. 2 TDC [tarif du 23 novembre 2010 des dépens en matière civile; RSV 270.11.6]). En l'espèce, les prétentions du demandeur sont intégralement rejetées. La défenderesse, qui obtient gain de cause, a droit à de pleins dépens. En raison notamment de la durée de la procédure, de l'importance des écritures et des mesures d'instruction, les dépens dus à la défenderesse peuvent être arrêtés à 19'350 fr., savoir : a) 15'000 fr. à titre de participation aux honoraires de son conseil; b) 750 fr. pour les débours de celui‑ci; c) 3'600 fr. en remboursement de son coupon de justice.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