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662 vom 30. September 2022</w:t>
      </w:r>
    </w:p>
    <w:p>
      <w:r>
        <w:t>VD Tribunal cantonal, 2022-09-30, FR</w:t>
      </w:r>
    </w:p>
    <w:p>
      <w:r>
        <w:rPr>
          <w:b/>
        </w:rPr>
        <w:t xml:space="preserve">Quelle: </w:t>
      </w:r>
      <w:r>
        <w:t>https://mcp.opencaselaw.ch/entscheid/vd_findinfo_662___________</w:t>
      </w:r>
    </w:p>
    <w:p>
      <w:r>
        <w:t>FR: VD_FINDINFO 662 du 30 septembre 2022</w:t>
      </w:r>
    </w:p>
    <w:p>
      <w:r>
        <w:t>IT: VD_FINDINFO 662 del 30 settembre 2022</w:t>
      </w:r>
    </w:p>
    <w:p>
      <w:pPr>
        <w:pStyle w:val="Heading2"/>
      </w:pPr>
      <w:r>
        <w:t>Regeste</w:t>
      </w:r>
    </w:p>
    <w:p>
      <w:r>
        <w:t>REJET DE LA DEMANDE, RÉCUSATION | 329 al. 1 CPP (CH), 56 let. b CPP (CH), 56 let. f CPP (CH), 58 CPP (CH)</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d’A.Z.________ dès lors qu’elle est dirigée contre un magistrat de première instance.</w:t>
      </w:r>
    </w:p>
    <w:p>
      <w:r>
        <w:rPr>
          <w:b/>
        </w:rPr>
        <w:t>E. 2.1</w:t>
      </w:r>
    </w:p>
    <w:p>
      <w:r>
        <w:t>Un magistrat est récusable pour l'un des motifs prévus aux art. 56 let. a à e CPP. Ainsi, 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au sens de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au sens de l'art. 56 let. b CPP implique une triple identité de parties, de procédure et de questions litigieuses. Le cas de récusation visé par cette disposition présuppose aussi que le magistrat en question ait agi à « un autre titre », soit dans des fonctions différentes (ATF 143 IV 69 consid. 3.1). La garantie du juge impartial ne commande pas non plus la récusation d’un juge au simple motif qu’il a, dans une procédure antérieure – voire dans la même affaire –, tranché en défaveur du requérant (ATF 143 IV 69 précité ; ATF 129 III 445 consid. 4.2.2.2 ; ATF 114 Ia 278 consid. 1). Quant aux actes préparatoires - dont l'examen prévu à l'art. 329 al. 1 CPP - et autres décisions d'instruction, ils sont nécessaires à chaque procédure pénale et ne permettent en principe pas de considérer que celui les ayant ordonnés, respectivement celui qui dirige la procédure, serait prévenu (TF 1B_87/2017 du</w:t>
      </w:r>
    </w:p>
    <w:p>
      <w:r>
        <w:rPr>
          <w:b/>
        </w:rPr>
        <w:t>E. 2.2</w:t>
      </w:r>
    </w:p>
    <w:p>
      <w:r>
        <w:t>Un magistrat est également récusable selon l'art. 56 let. f CPP, « lorsque d'autres motifs, notamment un rapport d'amitié étroit ou d'inimitié avec une partie ou son conseil juridique,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et 6 CEDH (ATF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TF 1B_110/2022 du 19 avril 2022 consid. 2.1).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 3.2 et les références citées).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TF 6B_24/2021 du 5 février 2021 consid. 3.2 ; TF 1B_319/2020 du 17 novembre 2020 consid. 2.1). Ces motifs s’appliquent aux tribunaux (art. 13 CPP ; TF 1B_327/2020 précité consid. 3.1).</w:t>
      </w:r>
    </w:p>
    <w:p>
      <w:r>
        <w:rPr>
          <w:b/>
        </w:rPr>
        <w:t>E. 2.3</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sous peine de déchéance (ATF 140 I 271 consid. 8.4.3 ; TF 1B_117/2022 du 18 mai 2022 consid. 3.1).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Il incombe à la partie qui se prévaut d'un motif de récusation de rendre vraisemblable qu'elle a agi en temps utile, en particulier de rendre vraisemblable le moment de la découverte de ce motif (TF 1B_117/2022 précité). 3. 3.1 Le requérant considère qu’il existerait une apparence de prévention à son égard dès lors qu’en usant du terme « correctionnalisation » dans son prononcé du 8 mars 2022, la présidente C.________ se serait déjà forgée une opinion sur la culpabilité, la quotité de la peine et la question de l’expulsion. Sous l’angle de la recevabilité, le requérant expose que son défenseur, Me Zoubair Toumia, se trouvait à l’étranger du 9 au 26 juillet 2022, de sorte que l’avis de fixation d’audience du 8 juillet 2022 n’a été réceptionné par lui qu’à son retour, soit le 27 juillet 2022. Déposée le 2 août 2022, la demande de récusation serait dès lors recevable. 3.2 En l’occurrence, le fait dont se prévaut A.Z.________, à savoir que C.________ ne pourrait présider le Tribunal correctionnel dès lors qu’elle a rendu le 8 mars 2022, en tant que Présidente du Tribunal de police, un prononcé de correctionnalisation de la cause, ce qui fonderait une apparence de partialité, est connu de lui depuis le 17 mars 2022, et non depuis le 27 juillet 2022 comme il le soutient. En effet, il ressort du dossier que, le 14 mars 2022, la présidente C.________ a relevé Me [...] de sa mission de défenseur d’office. Ce prononcé a été notifié sous pli recommandé à A.Z.________ le 17 mars 2022, ce qui ressort du relevé des suivis de la Poste suisse ; en parallèle il a été communiqué sous pli simple à Me Zoubair Toumia. Ce prononcé ayant été rendu à une date postérieure au 8 mars 2022 - date à laquelle le dossier a été transmis au Tribunal correctionnel -, C.________ n’agissait dès lors plus en tant que Présidente du Tribunal de police, mais en en tant que Présidente du Tribunal correctionnel, ce que le requérant ne pouvait ignorer. Dans ces conditions, invoqués dans la demande de récusation du 2 août 2022, soit plus de quatre mois après la notification du prononcé du 14 mars 2022, le motif de récusation précité l’a été tardivement (cf. supra consid. 2.3). Partant, la demande de récusation est irrecevable. Par surabondance, force est de constater que la présidente C.________ a procédé à l’examen de l’acte d’accusation et de la requête d’aggravation du Ministère public du 3 février 2022, conformément à l’art. 329 al. 1 CPP. Elle a ensuite fait application de l’art. 334 CPP afin de se dessaisir de l’affaire en faveur du Tribunal correctionnel. Ce faisant, elle a exercé une prérogative prévue par la loi, l’examen de l’acte d’accusation étant en outre nécessaire à chaque procédure pénale. Le fait que le dossier lui ait été attribué en tant que Présidente du Tribunal correctionnel ne permet en principe pas de fonder une suspicion de partialité (cf. supra consid. 2.1). A cet égard, le requérant se réfère à l’arrêt TF 1B_87/2017 du 6 avril 2017 pour appuyer sa demande. En l’occurrence, il s’agissait d’une affaire valaisanne dans laquelle le Tribunal fédéral avait admis la demande de récusation d’une présidente, qui s’était dessaisie, en application de l’art. 334 CPP, la veille des débats ; le Tribunal fédéral avait considéré que l’appréciation de la juge reposait nécessairement sur une analyse approfondie du dossier, en fait et en droit, ce qui démontrait une apparence de partialité. Cela étant, le requérant perd de vue que le motif de récusation découlait ici « des circonstances – notamment chronologiques – entourant le prononcé de dessaisissement », et non du dessaisissement en tant que tel (cf. consid. 2.5 in initio) . En effet, si l’arrêt précité était systématiquement appliqué comme le veut le requérant, cela impliquerait qu’un président devrait procéder aux opérations préliminaires de l’art. 329 al. 1 CPP, avant qu’un deuxième président ne siège à l’audience de jugement et statue sur le fond. Or, la doctrine n’est pas de cet avis (cf. les avis de doctrine cités dans l’arrêt TF 1B_87/2017 du 6 avril 2017 consid. 2.1), les décisions incidentes ne justifiant pas une récusation de la direction de la procédure. Pour que l’arrêt cité par le requérant soit déterminant en l’espèce, il faudrait encore que la présidente ait procédé à un examen approfondi du dossier, en fait et en droit, en allant au-delà des questions incidentes, ce qui n’est pas démontré. Il s’ensuit qu’à supposer recevable, la demande de récusation devrait de toute manière être rejetée. 4. En définitive, la demande de récusation déposée le 2 août 2022 par A.Z.________ doit être déclarée irrecevable. Les frais de la présente procédure, constitués en l’espèce du seul émolument de décision (art. 422 al. 1 CPP), par 880 fr. (art. 20 al. 1 TFIP [Tarif des frais de procédure et indemnités en matière pénale du 28 septembre 2010 ; BLV 312.03.1]), seront mis à la charge du requérant, conformément à l'art. 59 al. 4 CPP. Par ces motifs, la Chambre des recours pénale prononce : I. La demande de récusation déposée le 2 août 2022 par A.Z.________ à l’encontre de la présidente C.________ est irrecevable. II. Le frais de la décision, par 880 fr. (huit cent huitante francs), sont mis à la charge d’A.Z.________. III. La décision est exécutoire. La présidente :               Le greffier : Du La présente décision, dont la rédaction a été approuvée à huis clos, est notifiée, par l'envoi d'une copie complète, à : - Me Zoubair Toumia, avocat (pour A.Z.________), - Me Loïc Parein, avocat (pour A.________), - Me Angelo Ruggiero, avocat (pour B.Z.________, C.Z.________ et D.Z.________), - Ministère public central, et communiquée à : ‑ Mme la Présidente du Tribunal correctionnel de l’arrondissement de Lausanne, - Mme la Procureure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6</w:t>
      </w:r>
    </w:p>
    <w:p>
      <w:r>
        <w:t>avril 2017 consid. 2.1 ; TF 1B_326/2016 du 29 septembre 2016 consid. 3.4 ; Moreillon/Parein-Reymond, Petit commentaire, Code de procédure pénale, 2 e éd. 2016, n° 11 ad art. 56 CPP ; Boog, in Basler Kommentar, Schweizerische Strafprozessordnung, art. 1-195 StPO, vol. I, 2 e éd. 2014, n. 33 ad art. 56 CPP). Il en va de même de la demande tendant à la modification ou au complément de l'acte d'accusation (art. 333 CPP ; Schmid, Schweizerische Strafprozessordnung, Praxiskommentar, 2 e éd. 2013, n. 8 ad art. 56 CPP ; Schmid, Handbuch des Schweizerisches Strafprozessrechts, 2 e éd. 2013, n. 516, p. 190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