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643 vom 10. September 2024</w:t>
      </w:r>
    </w:p>
    <w:p>
      <w:r>
        <w:t>VD Tribunal cantonal, 2024-09-10, FR</w:t>
      </w:r>
    </w:p>
    <w:p>
      <w:r>
        <w:rPr>
          <w:b/>
        </w:rPr>
        <w:t xml:space="preserve">Quelle: </w:t>
      </w:r>
      <w:r>
        <w:t>https://mcp.opencaselaw.ch/entscheid/vd_findinfo_643___________</w:t>
      </w:r>
    </w:p>
    <w:p>
      <w:r>
        <w:t>FR: VD_FINDINFO 643 du 10 septembre 2024</w:t>
      </w:r>
    </w:p>
    <w:p>
      <w:r>
        <w:t>IT: VD_FINDINFO 643 del 10 settembre 2024</w:t>
      </w:r>
    </w:p>
    <w:p>
      <w:pPr>
        <w:pStyle w:val="Heading2"/>
      </w:pPr>
      <w:r>
        <w:t>Regeste</w:t>
      </w:r>
    </w:p>
    <w:p>
      <w:r>
        <w:t>ABUS DE CONFIANCE, GESTION DÉLOYALE, CAPACITÉ D'ÊTRE PARTIE, PARTIE À LA PROCÉDURE, LÉSÉ, ORDONNANCE DE NON-ENTRÉE EN MATIÈRE, MOTIVATION DE LA DEMANDE | 138 CP, 158 CP, 115 CPP (CH), 118 CPP (CH), 310 CPP (CH)</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Le recours a été déposé en temps utile, par une partie plaignante revêtant, à ce titre, a priori la qualité pour recourir (art. 382 al. 1 CPP). En l’espèce, l'examen de la qualité pour recourir de J.________ au sens de l’art. 382 al. 1 CPP – qui dépend du fait de savoir si celle-ci est lésée par les infractions contre le patrimoine qu’elle a dénoncées – et ainsi de la recevabilité du recours impliquerait de résoudre une question se recoupant avec le litige au fond ; or, les faits dits de « double pertinence » sont en principe examinés dans le cadre du fond de l'affaire. Pour la recevabilité, il suffit qu'ils soient allégués de manière concluante ou avec une certaine vraisemblance (ATF 147 IV 188 consid. 1.4 ; TF 7B_262/2023 du 2 juillet 2024 consid. 1.4 et les références citées).</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 CREP 30 juillet 2024/558 consid. 1.2).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6B_1447/2022 précité ; CREP 30 juillet 2024/558 précité). L’art. 385 al. 2, 1 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w:t>
      </w:r>
    </w:p>
    <w:p>
      <w:r>
        <w:rPr>
          <w:b/>
        </w:rPr>
        <w:t>E. 2.1</w:t>
      </w:r>
    </w:p>
    <w:p>
      <w:r>
        <w:t>Dans son recours, J.________ invoque une violation du droit, en l’occurrence des art. 138 CP, 158 CP et 310 al. 1 let. a CPP. Elle estime en substance que les éléments constitutifs de l’infraction d’abus de confiance seraient réalisés, en lien avec le fait que P.________ a fait verser sur son compte bancaire privé la commission de courtage relative à la vente du bien immobilier situé à Estavayer-le-Lac alors que cette commission aurait dû être versée sur le compte de la société C.________ Sàrl puis partagée par moitié entre les associés. J.________ indique que P.________ doit être considéré comme l’auteur de l’infraction, à qui des valeurs patrimoniales ont été confiées, puisque celles-ci ont été versées sur son compte personnel, et non sur celui de la société, alors qu’il agissait en réalité en qualité d’employé de C.________ Sàrl et non à titre privé. En détournant, et en s’appropriant la commission de courtage en question, il lui aurait fait subir un dommage sous la forme d’une non-augmentation de son actif, puisque l’argent qui aurait dû selon elle être versé à la société puis lui revenir en définitive n’a jamais été versé à C.________ Sàrl. La recourante expose que le chef de prévention de gestion déloyale serait également réalisé. P.________ aurait acquis la qualité de gérant de la société C.________ Sàrl par l’acte constitutif du 21 janvier 2022 et aurait violé son devoir de gestion inhérent à cette qualité en se remboursant sur son compte privé des frais de déplacements injustifiés et en usant de sa position au sein de la société C.________ Sàrl pour convaincre les clients d’Estavayer-le-Lac de verser la commission de courtage sur son compte personnel. Le dommage résiderait, pour la société, dans la diminution de son patrimoine, de par les prélèvements et remboursements de frais injustifiés, et, pour J.________, dans la non-augmentation de son actif, tel qu’exposé ci-dessus, soit par ricochet à la non-augmentation du patrimoine de la société. Pour les deux chefs d’accusation, P.________ aurait agi intentionnellement et dans un dessein d’enrichissement illégitime. En définitive, de par la mauvaise application des art. 138 CP et 158 CP, l’art. 310 al. 1 let. a CPP aurait été violé.</w:t>
      </w:r>
    </w:p>
    <w:p>
      <w:r>
        <w:rPr>
          <w:b/>
        </w:rPr>
        <w:t>E. 2.2</w:t>
      </w:r>
    </w:p>
    <w:p>
      <w:r>
        <w:t>En l’espèce, la recourante conclut à l’annulation de l’ordonnance attaquée dans son entier. Toutefois, elle ne développe une véritable motivation qu’au sujet des faits liés à la commission de courtage relative à la vente du bien immobilier sis à Estavayer-le-Lac. La motivation juridique relative à la problématique des remboursements de frais indus – qui ne sont d’ailleurs aucunement étayés par l’intéressée – ne satisfait pas aux exigences de motivation posées par l’art. 385 al. 1 CPP, dès lors que J.________ se contente, dans son recours, de reprendre les termes de sa plainte, à laquelle elle renvoie d’ailleurs expressément dans son acte. Elle échoue cependant à démontrer, en s’appuyant sur les motifs de l’ordonnance attaquée, en quoi il se justifierait – sous l’angle des faits ou du droit – qu’une décision différente soit rendue, une contestation générale ou le simple renvoi aux pièces déposées devant le Ministère public n’étant à cet égard pas suffisant. En ce qui concerne l’absence de tenue de comptabilité ou une violation de la loi contre la concurrence déloyale, la motivation est inexistante. Dans ces conditions, en ce que ses conclusions visent ces complexes de faits reprochés à P.________ (remboursements de frais indus, absence de tenue de comptabilité et violation de la LCD), l’acte de recours souffre d’un défaut de motivation. Il est ainsi irrecevable sur ces points.</w:t>
      </w:r>
    </w:p>
    <w:p>
      <w:r>
        <w:rPr>
          <w:b/>
        </w:rPr>
        <w:t>E. 2.3.1</w:t>
      </w:r>
    </w:p>
    <w:p>
      <w:r>
        <w:t>Aux termes de l’art. 309 al. 1 let. a CPP, le Ministère public ouvre une instruction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rPr>
          <w:b/>
        </w:rPr>
        <w:t>E. 2.3.2</w:t>
      </w:r>
    </w:p>
    <w:p>
      <w:r>
        <w:t>Commet un abus de confiance au sens de l'art. 138 ch. 1 al. 2 CP, quiconque, sans droit, aura employé à son profit ou à celui d'un tiers des valeurs patrimoniales qui lui avaient été confiées. Sur le plan objectif, l'infraction à l'art. 138 ch. 1 al. 2 CP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143 IV 297 consid. 1.3 ; 133 IV 21 consid. 6.2). Le comportement délictueux consiste à utiliser la valeur patrimoniale contrairement aux instructions reçues, en s'écartant de la destination fixée (ATF 129 IV 257 consid. 2.2.1 ; TF 6B_38/2023 du 13 avril 2023 consid. 2.2.1 ; TF 6B_1443/2021 du 13 février 2023 consid. 1.1.2). L'al. 2 de l'art. 138 ch. 1 CP ne protège pas la propriété, mais le droit de celui qui a confié la valeur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 121 IV 23 consid. 1c ; cf. TF 6B_38/2023 précité ; TF 6B_694/2019 du 11 juillet 2019 consid. 2.2). Bien que cet élément ne soit pas explicitement énoncé par l'art. 138 ch. 1 al. 2 CP, la disposition exige que le comportement adopté par l'auteur cause un dommage, qui représente un élément constitutif objectif non écrit (ATF 111 IV 19 consid. 5 ; cf. TF 6B_38/2023 précité ; TF 6B_1354/2020 du 1 er juin 2022 consid. 2.1 ; TF 6B_291/2022 du 4 mai 2022 consid. 3.3. 1). L'art. 158 CP punit quiconque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L'infraction réprimée par l'art. 158 ch. 1 CP ne peut être commise que par une personne qui revêt la qualité de gérant. Il s'agit d'une personne à qui incombe, de fait ou formellement, la responsabilité d'administrer un complexe patrimonial non négligeable dans l'intérêt d'autrui (ATF 129 IV 124 consid. 3.1 ; ATF 123 IV 17 consid. 3b). Un tel devoir incombe notamment aux organes des sociétés commerciales, à savoir aux membres du conseil d'administration et à la direction, ainsi qu'aux organes de fait (TF 6B_612/2023 du 7 juin 2023 consid. 3.1). Cette infraction suppose la réalisation de quatre éléments constitutifs : il faut que l'auteur ait eu une position de gérant, qu'il ait violé une obligation lui incombant en cette qualité, qu'il en soit résulté un dommage et qu'il ait agi intentionnellement (cf. ATF 142 IV 349 consid. 3.2 ; ATF 120 IV 190 consid. 2b ; TF 6B_878/2021 du 24 octobre 2022 consid. 3.1 ; TF 6B_67/2019 du 16 décembre 2020 consid. 5.9.3).</w:t>
      </w:r>
    </w:p>
    <w:p>
      <w:r>
        <w:rPr>
          <w:b/>
        </w:rPr>
        <w:t>E. 2.3.3</w:t>
      </w:r>
    </w:p>
    <w:p>
      <w:r>
        <w:t>Selon l'art. 118 al. 1 CPP, on entend par partie plaignante le lésé qui déclare expressément vouloir participer à la procédure pénale comme demandeur au pénal ou au civil. La notion de lésé est définie à l'art. 115 al. 1 CPP. En règle générale, seul peut se prévaloir d'une atteinte directe le titulaire du bien juridique protégé par la disposition pénale qui a été enfreinte (ATF 147 IV 269 consid. 3.1 ; ATF 145 IV 491 consid. 2.3 ; ATF 143 IV 77 consid. 2.2. ; ATF 141 IV 454 consid. 2.3.1 ; ATF 141 IV 1 consid. 3.1). Les droits touchés sont les biens juridiques individuels tels que la vie et l'intégrité corporelle, la propriété, l'honneur, etc. (ATF 141 IV 1 consid. 3.1). Pour être directement touché, le lésé doit en outre subir une atteinte en rapport de causalité directe avec l'infraction poursuivie, ce qui exclut les dommages par ricochet (ATF 147 IV 269 consid. 3.1).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148 IV 170 consid. 3.3.1, JdT 2023 IV 115 ; ATF 141 IV 380 consid. 2.3.3 ; ATF 140 IV 155 consid. 3.3.1 ; TF 6B_1067/2022 du 17 janvier 2023 consid. 4 ; TF 1B_319/2022 du 17 novembre 2022 consid. 2.1 ; TF 1B_537/2021 du 13 janvier 2022 consid. 2.1 ; TF 6B_103/2021 du 26 avril 2021 consid. 1.1).</w:t>
      </w:r>
    </w:p>
    <w:p>
      <w:r>
        <w:rPr>
          <w:b/>
        </w:rPr>
        <w:t>E. 2.3.4</w:t>
      </w:r>
    </w:p>
    <w:p>
      <w:r>
        <w:t>En l’espèce, les infractions dénoncées par J.________, à savoir l’abus de confiance en lien avec des valeurs patrimoniales (art. 138 ch. 1 al. 2 CP) et la gestion déloyale (art. 158 CP), protègent la valeur du patrimoine dans son ensemble. Comme cela résulte de l’exposé ci-dessus (cf. consid. 2.3.3), en cas d’infraction contre le patrimoine, la personne lésée est le détenteur du patrimoine lésé. Or, en ce qui concerne la problématique du versement sur le compte de P.________ de la commission de courtage relative au bien d’Estavayer-le-Lac, la recourante soutient que celui-ci aurait usé sans droit des valeurs patrimoniales que la société lui aurait confiées (art. 138 CP), et/ou qu’il aurait porté atteinte aux droits de la société en violation de ses devoirs de gérer celle-ci (art. 158 CP). Il ressort en outre de son allégation ainsi que de ses considérations juridiques, tels qu’exposés ci-dessus (cf. consid. 2.1), que la recourante invoque le fait que P.________ aurait commis des infractions ayant lésé le patrimoine de la société C.________ Sàrl ; elle soutient également que son propre dommage ne résulterait que d’une atteinte indirecte, puisqu’en raison du dommage que la société aurait subi, sous la forme d’une non-augmentation de son patrimoine, ses droits à l’encontre de cette société s’en trouveraient amoindris, puisque l’argent qui aurait dû être versé à la société puis lui revenir en définitive n’aurait jamais été versé à C.________ Sàrl. Une telle position est logique dès lors qu’en cas d’infraction perpétrée contre le patrimoine d’une société à responsabilité limitée, ni le gérant, ni l’associé, ni le créancier ne subit un dommage direct. La recourante perd toutefois de vue que, du fait qu’elle ne subit qu’un dommage indirect – ce qu’elle admet et même allègue et fait valoir juridiquement –, elle ne dispose pas de la qualité de lésée au sens de l’art. 115 al. 1 CPP des infractions qu’elle dénonce. Seule la société C.________ Sàrl pourrait être lésée, mais la recourante, dans son acte de recours, agit en son nom et pour son propre compte, et pas au nom de la société. De toute manière, il ressort du registre du commerce – qui est notoire (ATF 143 IV 380 consid. 1) – que la recourante ne dispose pas du pouvoir de représenter seule cette société, étant au bénéfice d’une signature collective à deux. Dans ces conditions, J.________ n’a pas la qualité pour se plaindre du fait que la commission de courtage aurait été encaissée par P.________ plutôt que par C.________ Sàrl. Il en irait d’ailleurs de même s’agissant de la problématique des remboursements de frais indus par P.________ au préjudice de la société (problématique déjà traitée sous consid. 2.2, sous l’angle de l’irrecevabilité). Pour ce motif, c’est à raison qu’une ordonnance de non-entrée en matière a été rendue, pour les faits en cause, en application de l’art. 310 al. 1 let. a CPP. Il y a lieu de confirmer sur ce point cette ordonnance, par substitution de motifs (art. 391 al. 1 let. a CPP ; TF 6B_1319/2023 du 23 avril 2024 consid. 3.3, par analogie).</w:t>
      </w:r>
    </w:p>
    <w:p>
      <w:r>
        <w:rPr>
          <w:b/>
        </w:rPr>
        <w:t>E. 3</w:t>
      </w:r>
    </w:p>
    <w:p>
      <w:r>
        <w:t>En définitive, le recours, manifestement mal fondé, doit être rejeté dans la mesure où il est recevable, sans échange d’écritures (art. 390 al. 2 CPP), et l’ordonnance attaquée confirmée. Vu le sort du recours, les frais de la présente procédure, soit l’émolument d’arrêt, par 1’650 fr. (art. 20 al. 1 TFIP [tarif des frais de procédure et indemnités en matière pénale du 28 septembre 2010 ; BLV 312.03.1]), seront mis à la charge de la recourante, qui succombe (art. 428 al. 1 CPP). L'avance de frais de 770 fr. versée par l’intéressée à titre de sûretés sera imputée sur les frais d'arrêt mis à sa charge (art.</w:t>
      </w:r>
    </w:p>
    <w:p>
      <w:r>
        <w:rPr>
          <w:b/>
        </w:rPr>
        <w:t>E. 7</w:t>
      </w:r>
    </w:p>
    <w:p>
      <w:r>
        <w:t>TFIP), le solde en faveur de l’Etat s’élevant ainsi à 880 francs. Par ces motifs, la Chambre des recours pénale prononce : I. Le recours est rejeté dans la mesure où il est recevable. II. L’ordonnance du 5 avril 2024 est confirmée. III. Les frais d’arrêt, par 1’650 fr. (mille six cent cinquante francs), sont mis à la charge de J.________. IV. Le montant de 770 fr. (sept cent septante francs) versé par J.________ à titre de sûretés est imputé sur les frais mis à sa charge au chiffre III ci-dessus, et le solde dû à l’Etat par celle-ci s’élève à 880 fr. (huit cent huitante francs). V. L’arrêt est exécutoire. Le président :               Le greffier : Du Le présent arrêt, dont la rédaction a été approuvée à huis clos, est notifié, par l'envoi d'une copie complète, à : - Me Lionel Ducret, avocat (pour J.________), - Ministère public central ; et communiqué à : ‑ Mme la Procureure d’arrondissement de l’Est vaudois, - P.________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