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624 vom 23. Dezember 2022</w:t>
      </w:r>
    </w:p>
    <w:p>
      <w:r>
        <w:t>VD Tribunal cantonal, 2022-12-23, FR</w:t>
      </w:r>
    </w:p>
    <w:p>
      <w:r>
        <w:rPr>
          <w:b/>
        </w:rPr>
        <w:t xml:space="preserve">Quelle: </w:t>
      </w:r>
      <w:r>
        <w:t>https://mcp.opencaselaw.ch/entscheid/vd_findinfo_624___________</w:t>
      </w:r>
    </w:p>
    <w:p>
      <w:r>
        <w:t>FR: VD_FINDINFO 624 du 23 décembre 2022</w:t>
      </w:r>
    </w:p>
    <w:p>
      <w:r>
        <w:t>IT: VD_FINDINFO 624 del 23 dicembre 2022</w:t>
      </w:r>
    </w:p>
    <w:p>
      <w:pPr>
        <w:pStyle w:val="Heading2"/>
      </w:pPr>
      <w:r>
        <w:t>Regeste</w:t>
      </w:r>
    </w:p>
    <w:p>
      <w:r>
        <w:t>PROTECTION DE L'UNION CONJUGALE, OBLIGATION D'ENTRETIEN | 276 CC, 285 CC, 311 al. 1 CPC (CH), 312 al. 1 CPC (CH)</w:t>
      </w:r>
    </w:p>
    <w:p>
      <w:pPr>
        <w:pStyle w:val="Heading2"/>
      </w:pPr>
      <w:r>
        <w:t>Erwägungen</w:t>
      </w:r>
    </w:p>
    <w:p>
      <w:r>
        <w:rPr>
          <w:b/>
        </w:rPr>
        <w:t>E. 1.1</w:t>
      </w:r>
    </w:p>
    <w:p>
      <w:r>
        <w:t>L’appel est recevable contre les ordonnances de mesures protectrices de l’union conjugale, considérées comme des décisions provisionnelles au sens de l’art. 308 al. 1 let. b CPC (Code de procédure civile du 19 décembre 2008 ; RS 272) (ATF 137 III 475 consid. 4.1), dans les causes non patrimoniales ou dont la valeur litigieuse, au dernier état des conclusions devant l’autorité de première instance, est de 10’000 fr. au moins (art. 308 al. 2 CPC). La protection de l’union conjugale étant régie par la procédure sommaire (art. 271 let. a CPC), le délai pour l’introduction de l’appel et de la réponse est de dix jours (art. 314 al. 1 CPC). Un membre de la Cour d’appel civile statue comme juge unique (art. 84 al. 2 LOJV [loi d’organisation judiciaire du 12 décembre 1979 ; BLV 173.021]).</w:t>
      </w:r>
    </w:p>
    <w:p>
      <w:r>
        <w:rPr>
          <w:b/>
        </w:rPr>
        <w:t>E. 1.2</w:t>
      </w:r>
    </w:p>
    <w:p>
      <w:r>
        <w:t>En l’espèce, formé en temps utile par une partie qui a un intérêt digne de protection (art. 59 al. 2 let. a CPC) et portant sur des contributions d’entretien qui, capitalisées selon l’art. 92 al. 2 CPC, sont supérieures à 10’000 fr.,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précité op. cit .). Le juge des mesures protectrices de l’union conjugale statue sur la base de la simple vraisemblance après une administration limitée des preuves (ATF 138 III 97 consid. 3.4.2 ; ATF 127 III 474 consid. 2b/bb ; TF 5A_466/2019 du 25 septembre 2019 consid. 4.2).</w:t>
      </w:r>
    </w:p>
    <w:p>
      <w:r>
        <w:rPr>
          <w:b/>
        </w:rPr>
        <w:t>E. 2.2.1</w:t>
      </w:r>
    </w:p>
    <w:p>
      <w:r>
        <w:t>La maxime inquisitoire illimitée de l’art. 296 CPC est applicable à toutes les procédures du droit de la famille concernant le sort des enfants.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 er juillet 2019 consid. 3.2.1). Le Tribunal fédéral a voulu ainsi éviter que le juge statue sur la contribution d’entretien de l’enfant et du conjoint sur la base d’un état de fait différent, sous prétexte que le procès n’est pas soumis aux mêmes maximes dans un cas et dans l’autre (TF 5A_361/2011 du 7 décembre 2011 consid. 5.3). Le juge d’appel n’étant lié ni par les allégués des parties, ni par les faits admis des parties lorsque la maxime inquisitoire illimitée s’applique (ATF 128 III 411 précité consid. 3.2.1), l’autorité cantonale n’outrepasse pas son pouvoir d’appréciation lorsqu’il modifie d’office les charges des parties ou de l’enfant telles que retenues par le premier juge (TF 5A_450/2020 du 4 janvier 2021 consid. 3.1.4).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Pour les questions relatives aux époux, en particulier sur la contribution d’entretien (Tappy, Commentaire romand, Code de procédure civile, Bâle 2019, 2 e éd., nn. 5 ss ad art. 272 CPC), le principe de disposition s’applique à l’objet du litige. Le juge est ainsi lié par les conclusions des parties ; il ne peut accorder à l’une ni plus, ni autre chose que ce qu’elle demande, ni moins que ce que l’autre reconnaît lui devoir (TF 5A_361/2011 précité consid. 5.3.1). Même en appliquant à l’époux la maxime inquisitoire illimitée compte tenu de la présence d’enfants mineurs, on ne saurait toutefois admettre une entorse au principe de disposition auquel la pension du conjoint est soumise (TF 5A_757/2013 du 14 juillet 2014 consid. 2.1 ; TF 5A_277/2019 du 25 septembre 2019 consid. 3.1).</w:t>
      </w:r>
    </w:p>
    <w:p>
      <w:r>
        <w:rPr>
          <w:b/>
        </w:rPr>
        <w:t>E. 2.2.2</w:t>
      </w:r>
    </w:p>
    <w:p>
      <w:r>
        <w:t>Lorsque la procédure est soumise à la maxime inquisitoire illimitée (art. 296 al. 1 CPC), les parties peuvent présenter des nova en appel même si les conditions de l’art. 317 al. 1 CPC ne sont pas réunies (ATF 144 III 349 consid. 4.2.1 ; TF 5A_582/2020 du 7 octobre 2021 consid. 4.1.4 ; TF 5A_67/2020 du 10 août 2020 consid. 3.3.1 et les réf. citées).</w:t>
      </w:r>
    </w:p>
    <w:p>
      <w:r>
        <w:rPr>
          <w:b/>
        </w:rPr>
        <w:t>E. 2.3</w:t>
      </w:r>
    </w:p>
    <w:p>
      <w:r>
        <w:t>; TF 5A_200/2019, 5A_201/2019 du 29 janvier 2020 consid. 3.2.1 ; TF 4A_509/2014 du 4 février 2015 consid. 2.2, publié in SJ 2015 I p. 385), fait que l’appelant n’a toutefois pas établi. Au vu de ces éléments, c’est à raison que le président n’a pas retenu de frais de transport dans le budget mensuel de l’appelant. Le grief doit ainsi être rejeté.</w:t>
      </w:r>
    </w:p>
    <w:p>
      <w:r>
        <w:rPr>
          <w:b/>
        </w:rPr>
        <w:t>E. 3.1</w:t>
      </w:r>
    </w:p>
    <w:p>
      <w:r>
        <w:t>L’appelant fait grief au premier juge de ne pas avoir retenu certaines charges dans son budget mensuel.</w:t>
      </w:r>
    </w:p>
    <w:p>
      <w:r>
        <w:rPr>
          <w:b/>
        </w:rPr>
        <w:t>E. 3.2.1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w:t>
      </w:r>
    </w:p>
    <w:p>
      <w:r>
        <w:rPr>
          <w:b/>
        </w:rPr>
        <w:t>E. 3.2.2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le montant qui manque doit être indiqué dans la convention ou le jugement fixant l’entretien (art. 287a let. c CC et 301a let. c CPC ; ATF 147 III 265 consid. 5.6 ; TF 5A_441/2019 du 25 octobre 2019 consid. 3.2.2).</w:t>
      </w:r>
    </w:p>
    <w:p>
      <w:r>
        <w:rPr>
          <w:b/>
        </w:rPr>
        <w:t>E. 3.2.3</w:t>
      </w:r>
    </w:p>
    <w:p>
      <w:r>
        <w:t>Dans l’arrêt ATF 147 III 265 précité consid. 6.1,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 Les Lignes directrices pour le calcul du minimum vital du droit des poursuites (ci-après : Lignes directrices)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5A_1029/2015 du 1 er juin 2016 consid. 4.3.1 ; TF 5A_767/2016 du 30 janvier 2017 consid. 3.1.1 ; ATF 129 III 526 consid. 3) et à déduire des coûts de logement du parent gardien (TF 5A_464/2012 du 30 novembre 2012 consid. 4.6.3 ; CACI 27 septembre 2021/469 consid. 3.3.2) ou des deux parents en cas de garde alternée (TF 5A_583/2018 précité op. cit. )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citées ; TF 5A_441/2019 précité op. cit. ). La pratique vaudoise admet toutefois la prise en compte dans le minimum vital LP déjà du parent non-gardien un forfait de 150 fr. pour l’exercice du droit de visite.</w:t>
      </w:r>
    </w:p>
    <w:p>
      <w:r>
        <w:rPr>
          <w:b/>
        </w:rPr>
        <w:t>E. 3.2.4</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Les Lignes directrices pour le calcul du minimum vital du droit des poursuites (ci-après : minimum vital LP) selon l’art. 93 LP édictées par la Conférence des préposés aux poursuites et faillites de Suisse constituent le point de départ de la détermination des besoins des époux. Doivent être ajoutés au montant de base notamment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Si les moyens le permettent, il y a lieu d’élargir le budget à ces dépenses supplémentaires, qui constituent le minimum vital du droit de la famille. Appartiennent typiquement à l’entretien convenable des époux les impôts, ainsi que des forfaits pour la télécommunication et les assurances, les frais de formation continue indispensables, des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précité loc. cit .).</w:t>
      </w:r>
    </w:p>
    <w:p>
      <w:r>
        <w:rPr>
          <w:b/>
        </w:rPr>
        <w:t>E. 3.2.5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consid. 7.2).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w:t>
      </w:r>
    </w:p>
    <w:p>
      <w:r>
        <w:rPr>
          <w:b/>
        </w:rPr>
        <w:t>E. 3.3.1.1</w:t>
      </w:r>
    </w:p>
    <w:p>
      <w:r>
        <w:t>L’appelant fait grief au président de ne pas avoir retenu 77 fr. de frais de transport dans son budget mensuel liés au coût d’un abonnement de bus, alors qu’il aurait impérativement besoin d’utiliser les transports publics pour se rendre sur son lieu de travail.</w:t>
      </w:r>
    </w:p>
    <w:p>
      <w:r>
        <w:rPr>
          <w:b/>
        </w:rPr>
        <w:t>E. 3.3.1.2</w:t>
      </w:r>
    </w:p>
    <w:p>
      <w:r>
        <w:t>Il est relevé que seuls les montants réellement acquittés peuvent être pris en compte (ATF 121 III 20 consid. 3a ; TF 5A_378/2021 du 7 septembre 2022 consid. 7.3 ; TF 5A 532/2021 du 22 novembre 2021 consid. 3.2 ; TF 5A_930/2019 du 16 septembre 2020 consid. 5.2 ; TF 5A_246/2019 du 9 juin 2020 consid. 5.1). En effet, il ne s’agit pas de prendre en considération des dépenses hypothétiques dont on ne sait pas si elles existeront finalement – et à concurrence de quel montant – ni si elles seront en définitive assumées (TF 5A_378/2021 précité consid. 7.3 ; TF 5A_930/2019 précité consid. 5.2 ; TF 5A_246/2019 précité consid. 5.1 ; TF 5A_272/2019 du 9 juin 2020 consid. 4.1).</w:t>
      </w:r>
    </w:p>
    <w:p>
      <w:r>
        <w:rPr>
          <w:b/>
        </w:rPr>
        <w:t>E. 3.3.1.3</w:t>
      </w:r>
    </w:p>
    <w:p>
      <w:r>
        <w:t>En l’espèce, l’appelant ne fait qu’alléguer le fait qu’il aurait besoin d’utiliser un moyen de transport public pour se rendre sur son lieu de travail, sans établir qu’il s’acquitterait effectivement de frais de déplacement. Or, de jurisprudence constante, la maxime inquisitoire illimitée ne dispense pas la partie de rendre vraisemblable ses charges mensuelles, de sorte qu’il n’y a pas lieu de retenir des charges dont on ignore si elles existent. Au demeurant, selon la jurisprudence du Tribunal fédéral, la distance kilométrique (par exemple entre le domicile d’un époux et son lieu de travail) n’est pas un fait notoire et doit dès lors être alléguée et prouvée (TF 5A_805/2019 du 27 mars 2020 consid.</w:t>
      </w:r>
    </w:p>
    <w:p>
      <w:r>
        <w:rPr>
          <w:b/>
        </w:rPr>
        <w:t>E. 3.3.2.1</w:t>
      </w:r>
    </w:p>
    <w:p>
      <w:r>
        <w:t>L’appelant reproche ensuite au premier juge de ne pas avoir retenu ses arriérés d’impôts à hauteur de 200 fr. par mois dans ses charges mensuelles.</w:t>
      </w:r>
    </w:p>
    <w:p>
      <w:r>
        <w:rPr>
          <w:b/>
        </w:rPr>
        <w:t>E. 3.3.2.2</w:t>
      </w:r>
    </w:p>
    <w:p>
      <w:r>
        <w:t>La charge fiscale courante doit être prise en compte dans le minimum vital du droit de la famille (ATF 147 III 265 précité consid. 7.2 ; ATF 140 III 337 consid. 4.2.3, JdT 2015 II 227 ; TF 5A_365/2019 du 14 décembre 2020 consid. 5.4.2 ; TF 5A_465/2020 du 23 novembre 2020 consid. 5.3 ; CJ GE, 11.06.2021, arrêt ACJC/828/2021 consid. 4.2.3), à condition que l’époux concerné prouve avoir jusque-là payé les impôts courants (ATF 140 III 337 précité consid. 4.2.3, JdT 2015 II 227 ; TF 5A_272/2019 précité consid. 4.2.2 ; CJ GE, 7.09.2021, arrêt ACJC/1118/2021 consid. 7.2.1). La charge fiscale prise en considération doit correspondre à celle de l’année de taxation en cours et à celle future prévisible compte tenu des modifications induites par la séparation et des contributions d’entretien payées (TF 5A_889/2018 du 15 mai 2019 consid. 3.2.1). Ne sont pris en compte que les impôts courants et non des arriérés d’impôts dont les époux auraient dû s’acquitter en temps utile (CJ GE, 11.06.2021, arrêt ACJC/828/2021 précité consid. 4.2.3).</w:t>
      </w:r>
    </w:p>
    <w:p>
      <w:r>
        <w:rPr>
          <w:b/>
        </w:rPr>
        <w:t>E. 3.3.2.3</w:t>
      </w:r>
    </w:p>
    <w:p>
      <w:r>
        <w:t>En l’espèce, compte tenu des jurisprudences qui précèdent, les arriérés d’impôts n’avaient pas à être comptabilisés dans le budget mensuel de l’appelant. C’est donc à juste titre que le premier juge a retenu uniquement les impôts courants de l’appelant. Le grief invoqué par l’appelant doit être rejeté.</w:t>
      </w:r>
    </w:p>
    <w:p>
      <w:r>
        <w:rPr>
          <w:b/>
        </w:rPr>
        <w:t>E. 3.3.3.1</w:t>
      </w:r>
    </w:p>
    <w:p>
      <w:r>
        <w:t>L’appelant reproche encore au premier juge de ne pas avoir pris en compte ses frais de carte de crédit par 300 fr. par mois.</w:t>
      </w:r>
    </w:p>
    <w:p>
      <w:r>
        <w:rPr>
          <w:b/>
        </w:rPr>
        <w:t>E. 3.3.3.2</w:t>
      </w:r>
    </w:p>
    <w:p>
      <w:r>
        <w:t>L’amortissement d’une dette peut être pris en considération dans le calcul du minimum vital du droit de la famille (ATF 147 III 265 précité consid. 7.2 ; TF 5A_365/2019 précité consid. 5.4.2) lorsque celle-ci a été assumée avant la fin du ménage commun aux fins de l’entretien des deux époux, mais non lorsqu’elle a été contractée au profit d’un seul des époux, à moins que tous deux n’en répondent solidairement (ATF 127 III 289 consid. 2a/bb, JdT 2002 I 236 ; TF 5A_621/2021 du 20 avril 2022 consid. 4.3 publié in FamPra-ch 2022 p. 644 ; TF 5A_619/2013 du 10 mars 2014 consid. 2.3.1 ; TC VS, 31.08.2021, arrêt Cl 19 5 consid. 4.1.2.2 ; Françoise Bastons Bulletti, L’entretien après divorce : méthodes de calcul, montant, durée et limites, in SJ 2007 II 77 ss, sp. p. 90).</w:t>
      </w:r>
    </w:p>
    <w:p>
      <w:r>
        <w:rPr>
          <w:b/>
        </w:rPr>
        <w:t>E. 3.3.3.3</w:t>
      </w:r>
    </w:p>
    <w:p>
      <w:r>
        <w:t>En l’espèce, dans sa motivation succincte, l’appelant n’invoque ni n’établit que sa dette envers l’organisme de crédit aurait été assumée avant la fin du ménage commun en vue de l’entretien des deux époux, ni que ceux-ci en répondraient solidairement. Le grief est dès lors vain et c’est à juste titre que cette dette n’a pas été prise en compte dans son budget mensuel.</w:t>
      </w:r>
    </w:p>
    <w:p>
      <w:r>
        <w:rPr>
          <w:b/>
        </w:rPr>
        <w:t>E. 3.3.4.1</w:t>
      </w:r>
    </w:p>
    <w:p>
      <w:r>
        <w:t>L’appelant critique enfin l’allocation d’une contribution de prise en charge en sus des coûts directs de l’enfant B.Q.________. Il soutient que le fait que l’intimée n’ait pas encore trouvé d’emploi serait un indice qu’elle n’en chercherait pas et qu’elle n’aurait du reste pas donné suite à une proposition de stage qui lui aurait été offerte. Il conteste ensuite les motifs pour lesquels l’intimée aurait interrompu son stage, en substituant sa propre hypothèse à la motivation du premier juge.</w:t>
      </w:r>
    </w:p>
    <w:p>
      <w:r>
        <w:rPr>
          <w:b/>
        </w:rPr>
        <w:t>E. 3.3.4.2</w:t>
      </w:r>
    </w:p>
    <w:p>
      <w:r>
        <w:t>Selon l’art. 311 al. 1 CPC, l’appel doit être motivé. L’appelant doit expliquer en quoi son argumentation peut influer sur la solution retenue par les premiers juges (TF 4A_474/2013 du 10 mars 2014 consid. 3.1, SJ 2014 I 459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précité consid. 4.3.1 ; TF 5A_356/2020 du 9 juillet 2020 consid. 3.2).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 Le fait que le juge d’appel applique le droit d’office ne supprime pas ces exigences (cf. TF 5A_361/2019 du 21 février 2020 consid. 3.3.2). Il ne saurait être remédié à un défaut de motivation ou à des conclusions déficientes par la fixation d’un délai de l’art. 132 CPC, de tels vices n’étant pas d’ordre purement formel et affectant l’appel de façon irréparable (ATF 137 III 617 précité consid. 6.4, JdT 2014 II 187 ; TF 5A_368/2018 du 25 avril 2019 consid. 4.3.4 et les réf. citées ; CACI 25 février 2020/99 consid. 2.2). L’art. 132 al. 1 et 2 CPC ne permet en effet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5A_23/2019 du 3 juillet 2019 consid. 3.2.2). Il en résulte qu’à défaut de motivation suffisante, l’appel est d’emblée irrecevable, sans qu’il y ait lieu à interpellation de la partie (TF 5A_209/2014 du 2 septembre 2014 consid. 4.2.1 ; TF 4A_97/2014 précité consid. 3.3). Il n’y a en particulier pas lieu, dans un tel cas, de statuer sur la base du dossier (TF 5A_438/2012 du 27 août 2012 consid. 2.4, RSPC 2013 p. 29).</w:t>
      </w:r>
    </w:p>
    <w:p>
      <w:r>
        <w:rPr>
          <w:b/>
        </w:rPr>
        <w:t>E. 3.3.4.3</w:t>
      </w:r>
    </w:p>
    <w:p>
      <w:r>
        <w:t>En l’espèce, l’appelant ne fait que substituer sa propre appréciation à la motivation de l’ordonnance entreprise. Ce faisant, il n’établit pas son propos et ne rend en aucune manière vraisemblable que les faits constatés par le premier juge seraient erronés. Il ne démontre en particulier pas que la prise en charge personnelle de l’enfant par l’intimée serait contraire à l’intérêt de celui-ci, ni que la prise en charge par la mère ne l’empêcherait pas de couvrir ses besoins de subsistance. Il n’explique pas non plus en quoi les conditions de l’imputation d’un revenu hypothétique seraient réalisées, de sorte que son argumentation est clairement insuffisante au regard des exigences de motivation de l’appel. Au vu de ce qui précède, la critique doit être rejetée, dans la mesure où elle est recevable.</w:t>
      </w:r>
    </w:p>
    <w:p>
      <w:r>
        <w:rPr>
          <w:b/>
        </w:rPr>
        <w:t>E. 4.1</w:t>
      </w:r>
    </w:p>
    <w:p>
      <w:r>
        <w:t>En définitive, l’appel, manifestement mal fondé, doit être rejeté en application de l’art. 312 al. 1 in fine CPC et l’ordonnance entreprise confirmée, ce qui rend sans objet la requête d’effet suspensif.</w:t>
      </w:r>
    </w:p>
    <w:p>
      <w:r>
        <w:rPr>
          <w:b/>
        </w:rPr>
        <w:t>E. 4.2</w:t>
      </w:r>
    </w:p>
    <w:p>
      <w:r>
        <w:t>L’appelant a requis l’assistance judiciaire pour la procédure de deuxième instance. Or sa cause était d’emblée dépourvue de toute chance de succès (art. 117 let. b CPC), compte tenu des jurisprudences claires applicables quant à la prise en considération de certaines charges dans le budget mensuel des parties et du fait que l’appelant n’a pas établi les frais dont il alléguait leur existence. La requête d’assistance judiciaire doit dès lors être rejetée.</w:t>
      </w:r>
    </w:p>
    <w:p>
      <w:r>
        <w:rPr>
          <w:b/>
        </w:rPr>
        <w:t>E. 4.3</w:t>
      </w:r>
    </w:p>
    <w:p>
      <w:r>
        <w:t>Les frais judiciaires de deuxième instance, arrêtés à 600 fr. (art. 65 al. 2 TFJC [tarif des frais judiciaires civils du 28 septembre 2010 ; BLV 270.11.5]), doivent être supportés par l’appelant, qui succombe (art. 106 al. 1 CPC).</w:t>
      </w:r>
    </w:p>
    <w:p>
      <w:r>
        <w:rPr>
          <w:b/>
        </w:rPr>
        <w:t>E. 4.4</w:t>
      </w:r>
    </w:p>
    <w:p>
      <w:r>
        <w:t>L’intimée n’ayant pas été invitée à se déterminer sur cet appel, il n’y a pas lieu à l’allocation de dépens. Par ces motifs, le Juge unique de la Cour d’appel civile prononce : I. L’appel est rejeté. II. L’ordonnance est confirmée. III. La requête d’effet suspensif est sans objet. IV. La requête d’assistance judiciaire déposée par l’appelant A.Q.________ est rejetée. V. Les frais judiciaires de deuxième instance, arrêtés à 600 fr. (six cents francs), sont mis à la charge de l’appelant A.Q.________. VI. L’arrêt est exécutoire. La juge unique :               La greffière : Du Le présent arrêt, dont la rédaction a été approuvée à huis clos, est notifié en expédition complète à : ‑ Me Camille Piguet (pour A.Q.________), ‑ Me Marina Kilchenmann (pour P.________),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