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618 vom 20. Dezember 2022</w:t>
      </w:r>
    </w:p>
    <w:p>
      <w:r>
        <w:t>VD Tribunal cantonal, 2022-12-20, FR</w:t>
      </w:r>
    </w:p>
    <w:p>
      <w:r>
        <w:rPr>
          <w:b/>
        </w:rPr>
        <w:t xml:space="preserve">Quelle: </w:t>
      </w:r>
      <w:r>
        <w:t>https://mcp.opencaselaw.ch/entscheid/vd_findinfo_618___________</w:t>
      </w:r>
    </w:p>
    <w:p>
      <w:r>
        <w:t>FR: VD_FINDINFO 618 du 20 décembre 2022</w:t>
      </w:r>
    </w:p>
    <w:p>
      <w:r>
        <w:t>IT: VD_FINDINFO 618 del 20 dicembre 2022</w:t>
      </w:r>
    </w:p>
    <w:p>
      <w:pPr>
        <w:pStyle w:val="Heading2"/>
      </w:pPr>
      <w:r>
        <w:t>Regeste</w:t>
      </w:r>
    </w:p>
    <w:p>
      <w:r>
        <w:t>BAIL À LOYER, AUTORITÉ DE CONCILIATION, COMPARUTION PERSONNELLE | 204 al. 3 CPC (CH), 206 al. 1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Une décision est finale au sens de l’art. 236 CPC lorsqu’elle met fin au procès (au sens procédural), que ce soit par une décision d’irrecevabilité – pour un motif de procédure – ou par une décision au fond – pour un motif tiré du droit matériel (ATF 134 III 426 consid. 1.1 ; TF 4A_545/2014 du 10 avril 2015 consid. 2.1 ; Hohl, Procédure civile, tome I, 2 e éd., Berne 2016, n. 2245, p. 374).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w:t>
      </w:r>
    </w:p>
    <w:p>
      <w:r>
        <w:rPr>
          <w:b/>
        </w:rPr>
        <w:t>E. 5</w:t>
      </w:r>
    </w:p>
    <w:p>
      <w:r>
        <w:t>En définitive, l’appel, manifestement infondé, doit être rejeté selon l’art. 312 al. 1 in fine CPC et le jugement entrepris confirmé. Les frais judiciaires de deuxième instance, arrêtés à 3’925 fr. (art. 62 al. 1 TFJC [tarif des frais judiciaires en matière civile du 28 septembre 2010 ; BLV 270.11.5]), seront mis à la charge de l’appelante, qui succombe (art.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