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598 vom 10. August 2022</w:t>
      </w:r>
    </w:p>
    <w:p>
      <w:r>
        <w:t>VD Tribunal cantonal, 2022-08-10, FR</w:t>
      </w:r>
    </w:p>
    <w:p>
      <w:r>
        <w:rPr>
          <w:b/>
        </w:rPr>
        <w:t xml:space="preserve">Quelle: </w:t>
      </w:r>
      <w:r>
        <w:t>https://mcp.opencaselaw.ch/entscheid/vd_findinfo_598___________</w:t>
      </w:r>
    </w:p>
    <w:p>
      <w:r>
        <w:t>FR: VD_FINDINFO 598 du 10 août 2022</w:t>
      </w:r>
    </w:p>
    <w:p>
      <w:r>
        <w:t>IT: VD_FINDINFO 598 del 10 agosto 2022</w:t>
      </w:r>
    </w:p>
    <w:p>
      <w:pPr>
        <w:pStyle w:val="Heading2"/>
      </w:pPr>
      <w:r>
        <w:t>Regeste</w:t>
      </w:r>
    </w:p>
    <w:p>
      <w:r>
        <w:t>RISQUE DE FUITE, MESURE DE SUBSTITUTION À LA DÉTENTION, REJET DE LA DEMANDE | 221 al. 1 let. a CPP (CH), 237 CPP (CH)</w:t>
      </w:r>
    </w:p>
    <w:p>
      <w:pPr>
        <w:pStyle w:val="Heading2"/>
      </w:pPr>
      <w:r>
        <w:t>Erwägungen</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dans le délai légal par un prévenu détenu qui a qualité pour recourir (art. 222 et 382 al. 1 CPP) et dans les formes prescrites (art. 385 al. 1 CPP), le recours d’H.________ est recevable.</w:t>
      </w:r>
    </w:p>
    <w:p>
      <w:r>
        <w:rPr>
          <w:b/>
        </w:rPr>
        <w:t>E. 2.1</w:t>
      </w:r>
    </w:p>
    <w:p>
      <w:r>
        <w:t>Le recourant conteste implicitement que des soupçons d’infractions graves soient réalisés. Il affirme qu’il n’a jamais pu blesser qui que ce soit avec le couteau cassé qu’il tenait par la lame et qu’il ne peut craindre une peine qui pourrait entraîner un risque de duite.</w:t>
      </w:r>
    </w:p>
    <w:p>
      <w:r>
        <w:rPr>
          <w:b/>
        </w:rPr>
        <w:t>E. 2.1.1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 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conclue à Rome le 4 novembre 1950 ; RS 0.101]) que si elle repose sur une base légale (art. 31 all. 1 et 36 al. 1 Cst.), soit en l’espèce, l’art. 221 CPP. Elle doit en outre correspondre à un intérêt public et respecter le principe de proportionnalité (art. 36 al. 2 et 3 Cst. et 197 al. 1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 art. 5 par. 1 let. c CEDH ; ATF 139 IV 186 consid. 2 et les arrêts cités). Ainsi, selon l’art. 221 al. 1 CPP, la détention provisoire suppose 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 de l’instruction pénale. Si des soupçons, même encore peu précis, peuvent être suffisants dans les premiers temps de l’enquête, la perspective d’une condamnation doit apparaître avec une certaine vraisemblance après l’instruction des actes d’instruction envisageables (ATF 143 IV 330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1B_145/2019 du 26 avril 2019 consid. 3.1).</w:t>
      </w:r>
    </w:p>
    <w:p>
      <w:r>
        <w:rPr>
          <w:b/>
        </w:rPr>
        <w:t>E. 2.1.2</w:t>
      </w:r>
    </w:p>
    <w:p>
      <w:r>
        <w:t>En l’espèce, des soupçons sérieux de commission d’infractions pèsent à l’encontre d’H.________. Ceux-ci ressortent en premier lieu des déclarations du plaignant, dont le discours, cohérent et factuel, relate un déroulement des évènements clair. On ne distingue en particulier aucune animosité ou intention de nuire, étant précisé que G.________ ne connaissait pas H.________. Il apparaît ainsi qu’H.________ s’en serait pris à G.________, d’abord muni d’un couteau qu’il tenait dans la main droite et dirigé contre son flanc gauche, puis d’une béquille, avec laquelle il lui aurait blessé la lèvre. Cet évènement est corroboré par les déclarations du témoin N.________ qui, à deux reprises, de façon ici aussi cohérente et régulière, a relaté avoir assisté à une altercation au cours de laquelle un « monsieur avec un béret », soit H.________, avait menacé « un autre homme de type africain », soit G.________, avec un couteau, qu’il tenait dans la main droite et qu’il pointait à hauteur des côtes de son adversaire, que le couteau était tombé au sol à la suite d’une manœuvre de l’individu qui était menacé et que celui qui portait le béret s’était alors saisi d’une béquille pour continuer d’en découdre, mais qu’il en avait été empêché par des tiers. Ainsi, H.________ a reconnu, lors de son audition par le Ministère public, s’être saisi d’un couteau pour s’en prendre à G.________. A ce propos, l’argument dont il s’est prévalu ensuite et selon lequel il se trouvait en proie à une émotion telle qu’il aurait été poussé à reconnaître des actes qui ne seraient pas de son fait ne convainc à ce stade pas. Au contraire, il est notoire que les premières déclarations d’un prévenu présentent souvent les caractéristiques de la spontanéité et de la sincérité, à l’inverse de celles qui interviennent par la suite et qui peuvent revêtir un caractère moins franc ; l’écoulement du temps laissant en effet le loisir à l’interrogé d’élaborer une version plus à son avantage. Quoi qu’il en soit, à ce jour, H.________ admet avoir fait usage d’un couteau, tout en affirmant qu’il n’était pas dangereux, que la lame n’était pas suffisamment longue pour blesser et que le manche était cassé et que s’il avait eu l’intention de blesser – ce dont il se défend – il n’en aurait de toute manière pas été capable. Les versions fluctuantes du recourant sont ici aussi des éléments propres à amoindrir sa crédibilité. Quant au couteau, si son manche était effectivement abimé, il n’en reste pas moins que selon les pièces versées au dossier, à elle seule (c’est-à-dire sans la tenir compte de la taille du manche) la lame mesurait près de douze centimètres (cf. P. 4/2 ; une dizaine selon N.________, cf. PV audition d’N.________ du 27 juin 2022, R. 8), qu’il était dentelé et qu’il était de nature à provoquer des blessures sérieuses à l’encontre d’autrui. Pour le surplus, les faits survenus ensuite et qui auraient consisté, pour le recourant, à se saisir d’une béquille employée comme une arme après qu’il avait été dépossédé de son couteau, dénotent une volonté de blesser, sans motif apparent, ce qui dépeint un individu dont la détermination peut inquiéter. Cet épisode avec la béquille est au demeurant unanimement relaté par le plaignant et deux témoins directs en les personnes d’N.________ et T.________, étant entendu que si ce dernier dit ne pas avoir vu le prévenu tenir le couteau, cela résulte uniquement du fait qu’il se trouvait dans un lieu distinct à cet instant précis et ne permet pas d’amoindrir la crédibilité des déclarations des autres personnes faites à ce propos. S’agissant de tentative de lésions corporelles qui pourraient être qualifiées de graves, les faits – dont la vraisemblance est établie à satisfaction par les éléments versés au dossier – loin d’être peu de gravité, permettent de retenir que la première condition posée à l’art. 221 al. 1 CPP et relative aux soupçons de commission d’un crime ou d’un délit est donnée. Pour le surplus, le prévenu est aussi soupçonné de s’être adonné à la vente de marijuana, dès lors qu’il a déclaré avoir réalisé un bénéfice de 800 francs après avoir écoulé 200 grammes de cette substance. De tels agissements, émanant des aveux du prévenu lui-même, pourraient relever du délit au sens de l’art. 19 LStup et constituent, à ce stade de la procédure, des éléments à charge supplémentaires s’agissant de soupçons de commission d’infractions au sens de l’art. 221 al. 1 CPP. C’est donc à juste titre que le Tribunal des mesures de contrainte a retenu l’existence de soupçons sérieux de commission des infractions qui lui sont reprochées.</w:t>
      </w:r>
    </w:p>
    <w:p>
      <w:r>
        <w:rPr>
          <w:b/>
        </w:rPr>
        <w:t>E. 2.2</w:t>
      </w:r>
    </w:p>
    <w:p>
      <w:r>
        <w:t>Le recourant conteste ensuite l’existence d’un risque de fuite. Il fait valoir que dans l’hypothèse où l’enquête devait aboutir à un jugement, il ne s’exposerait pas à une peine qui soit telle qu’elle fonde, à son endroit, une volonté de s’y soustraire.</w:t>
      </w:r>
    </w:p>
    <w:p>
      <w:r>
        <w:rPr>
          <w:b/>
        </w:rPr>
        <w:t>E. 2.2.1</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fond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ATF 143 IV 160 consid. 4.3 ; TF 1B_195/2022 du</w:t>
      </w:r>
    </w:p>
    <w:p>
      <w:r>
        <w:rPr>
          <w:b/>
        </w:rPr>
        <w:t>E. 2.2.2</w:t>
      </w:r>
    </w:p>
    <w:p>
      <w:r>
        <w:t>En l’espèce, c’est en vain que le recourant conteste l’existence d’un tel risque. De ses propres dires, il gravite autour de la France, l’Allemagne, le Danemark et la Suisse depuis trois ans, sans disposer d’un réel lieu d’attache pérenne. Dans notre pays, il ne dispose d’aucun statut, où il séjourne dès lors en toute clandestinité. Il n’entretient aucun lien social en Suisse, où il n’a ni travail, ni famille, les membres de celle-ci vivant en France, au Pays-Bas, en Belgique, en Espagne, en Allemagne et encore en Italie. Conscient des charges qui pèsent désormais à son encontre, le risque qu’il tente de s’y soustraire, respectivement qu’il ne se tienne pas à la disposition des autorités de poursuite pénale est non seulement concret, mais sérieux, et justifie son maintien en détention provisoire. Les hypothèses prévues par l'art. 221 al. 1 CPP étant alternatives et non cumulatives (TF 1B_195/2022 précité ; TF 1B_192/2022 du 12 mai 2022 consid. 4.1.2), l’existence manifeste du risque de fuite suffit à justifier le maintien en détention provisoire et dispense la Cour de céans d’examiner les arguments du recourant en lien avec les éventuels risques de collusion et de réitération, la contestation de ces deux risques étant sans pertinence ce d’autant plus qu’ils n’ont pas été examinés par la Présidente du Tribunal des mesures de contrainte dans son ordonnance du 28 juillet 2022.</w:t>
      </w:r>
    </w:p>
    <w:p>
      <w:r>
        <w:rPr>
          <w:b/>
        </w:rPr>
        <w:t>E. 2.3</w:t>
      </w:r>
    </w:p>
    <w:p>
      <w:r>
        <w:t>Le recourant affirme enfin que, pour le cas où les conditions de la détention provisoire devaient être tenues pour réalisées, le principe de proportionnalité commanderait de considérer des mesures de substitution à la détention provisoire. Il propose en particulier de déposer ses documents d’identité auprès du Ministère public, de se présenter une fois par semaine au poste de police de [...] et de porter un bracelet électronique.</w:t>
      </w:r>
    </w:p>
    <w:p>
      <w:r>
        <w:rPr>
          <w:b/>
        </w:rPr>
        <w:t>E. 2.3.1</w:t>
      </w:r>
    </w:p>
    <w:p>
      <w:r>
        <w:t>Conformément au principe de la proportionnalité ancré à l’art. 36 al. 3 Cst, il convient aussi d’examiner la possibilité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provisoire si ces mesures permettent d’atteindre le même but que la détention. La liste de l’art. 237 al. 2 CPP est exemplative et le juge de la détention peut également, le cas échéant, assortir les mesures de substitution de toute condition propre à en garantir l’efficacité (ATF 145 IV 503 consid. 3.1).</w:t>
      </w:r>
    </w:p>
    <w:p>
      <w:r>
        <w:rPr>
          <w:b/>
        </w:rPr>
        <w:t>E. 2.3.2</w:t>
      </w:r>
    </w:p>
    <w:p>
      <w:r>
        <w:t>En l’espèce, dès lors que le prévenu présente un risque de fuite concret, c’est à raison que le Tribunal des mesures de contrainte a retenu qu’aucune mesure de substitution ne pouvait entrer en considération. La jurisprudence considère en effet qu’aucune mesure de substitution telles que le dépôt des papiers d’identité, l’assignation à résidence assortie du port d’un bracelet électronique mais encore l’obligation de se présenter à un service administratif n’est suffisamment efficace pour prévenir un risque sérieux de départ à l’étranger ou d’entrée dans la clandestinité (TF 1B_228/2022 du 20 mai 2022 consid. 5.2 ; TF 1B_158/2021 du 20 avril 2021 consid. 3.5).</w:t>
      </w:r>
    </w:p>
    <w:p>
      <w:r>
        <w:rPr>
          <w:b/>
        </w:rPr>
        <w:t>E. 2.4.1</w:t>
      </w:r>
    </w:p>
    <w:p>
      <w:r>
        <w:t>La détention avant jugement ne doit pas durer plus longtemps que la peine privative de liberté prévisible (art. 212 al. 3 CPP).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(ATF 143 IV 168 consid. 5.1 ; ATF 139 IV 270 consid. 3.1 et les arrêts cités).</w:t>
      </w:r>
    </w:p>
    <w:p>
      <w:r>
        <w:rPr>
          <w:b/>
        </w:rPr>
        <w:t>E. 2.4.2</w:t>
      </w:r>
    </w:p>
    <w:p>
      <w:r>
        <w:t>En l’espèce, le recourant est incarcéré depuis le 1 er juin 2022. La durée de la détention provisoire et à subir jusqu’à l’échéance de la prolongation contestée demeure entièrement proportionnée au vu des opérations d’enquête à effectuer, de la gravité des faits et de la peine encourue par le recourant relativement aux infractions envisagées.</w:t>
      </w:r>
    </w:p>
    <w:p>
      <w:r>
        <w:rPr>
          <w:b/>
        </w:rPr>
        <w:t>E. 3</w:t>
      </w:r>
    </w:p>
    <w:p>
      <w:r>
        <w:t>Il résulte de ce qui précède que le recours, manifestement mal fondé, doit être rejeté sans échange d’écritures (art. 390 al. 2 CPP) et l’ordonnance du 28 juillet 2022 confirmée. Vu le sort du recours, les frais de la présente procédure, constitués de l’émolument d’arrêt, par 1’540 fr. (art. 20 al. 1 TFIP [tarif des frais de procédure et indemnités en matière pénale du 28 septembre 2010 ; BLV 312.03.1]), ainsi que des frais imputables à la défense d’office (art. 422 al. 1 et 2 let. a CPP), fixés à 450 fr., sur la base d’une activité nécessaire d’avocat de deux heures et demie au tarif horaire de 180 fr., auxquels il convient d’ajouter des débours forfaitaires à concurrence de 2 % (art. 2 al. 1 let. a et 3bis al. 1 RAJ [règlement sur l’assistance judiciaire en matière civile du 7 décembre 2010 ; BLV 211.01.3], applicable par renvoi de l’art. 26b TFIP), par. 9 fr., et la TVA sur le tout, par 35 fr. 35, soit à 495 fr. au total en chiffres arrondis, seront mis à la charge d’H.________, qui succombe (art. 428 al. 1 CPP). Le remboursement à l’Etat de l’indemnité allouée au défenseur d’office d’H.________ ne sera exigible de ce dernier que pour autant que sa situation financière le permette (art. 135 al. 4 CPP). Par ces motifs, la Chambre des recours pénale prononce : I. Le recours est rejeté. II. L’ordonnance du 28 juillet 2022 est confirmée. III. L’indemnité allouée à Me Antoine Golano, défenseur d’office d’H.________, est fixée à 495 fr. (quatre cent nonante-cinq francs). IV. Les frais d’arrêt, par 1’540 fr. (mille cinq cent quarante francs), ainsi que l’indemnité allouée à Me Antoine Golano, par 495 fr. (quatre cent nonante-cinq francs), sont mis à la charge d’H.________. V. Le remboursement à l’Etat de l’indemnité allouée sous chiffre III ci-dessus ne sera exigible d’H.________ que pour autant que sa situation financière le permette. VI. L’arrêt est exécutoire. La présidente :               La greffière : Du Le présent arrêt, dont la rédaction a été approuvée à huis clos, est notifié, par l'envoi d'une copie complète, à : - Me Antoine Golano, avocat (pour H.________), - Ministère public central, et communiqué à : ‑ Mme la Présidente du Tribunal des mesures de contrainte,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