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572 vom 18. November 2022</w:t>
      </w:r>
    </w:p>
    <w:p>
      <w:r>
        <w:t>VD Tribunal cantonal, 2022-11-18, FR</w:t>
      </w:r>
    </w:p>
    <w:p>
      <w:r>
        <w:rPr>
          <w:b/>
        </w:rPr>
        <w:t xml:space="preserve">Quelle: </w:t>
      </w:r>
      <w:r>
        <w:t>https://mcp.opencaselaw.ch/entscheid/vd_findinfo_572___________</w:t>
      </w:r>
    </w:p>
    <w:p>
      <w:r>
        <w:t>FR: VD_FINDINFO 572 du 18 novembre 2022</w:t>
      </w:r>
    </w:p>
    <w:p>
      <w:r>
        <w:t>IT: VD_FINDINFO 572 del 18 novembre 2022</w:t>
      </w:r>
    </w:p>
    <w:p>
      <w:pPr>
        <w:pStyle w:val="Heading2"/>
      </w:pPr>
      <w:r>
        <w:t>Regeste</w:t>
      </w:r>
    </w:p>
    <w:p>
      <w:r>
        <w:t>MESURE PROVISIONNELLE, OBLIGATION D'ENTRETIEN, ENFANT NÉ HORS MARIAGE, ACTION EN MODIFICATION | 286 al. 2 CC</w:t>
      </w:r>
    </w:p>
    <w:p>
      <w:pPr>
        <w:pStyle w:val="Heading2"/>
      </w:pPr>
      <w:r>
        <w:t>Erwägungen</w:t>
      </w:r>
    </w:p>
    <w:p>
      <w:r>
        <w:rPr>
          <w:b/>
        </w:rPr>
        <w:t>E. 1.1</w:t>
      </w:r>
    </w:p>
    <w:p>
      <w:r>
        <w:t>L’appel est recevable contre les décisions de première instance sur les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contre une ordonnance de mesures provisionnelles (art. 308 al. 1 let. b CPC) par une partie qui dispose d’un intérêt digne de protection (art. 59 al. 2 let. a CPC) et portant sur des conclusions patrimoniales qui, capitalisées selon l’art. 92 al. 2 CPC, sont supérieures à 10'000 fr., l’appel, écrit et motivé (art. 311 al. 1 CPC), est recevable. La réponse, déposée en temps utile,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Si l'instance d'appel applique le droit d'office, elle le fait uniquement sur les points du jugement qui ont fait l'objet d'une motivation suffisante et, partant, recevable, et non sur les points insuffisamment motivés (TF 4A_290/2014 du 1 er septembre 2014 consid. 5) ; cela vaut également lorsque la maxime d'office est applicable (TF 5A_512/2020 du 7 décembre 2020 consid. 3.3.1).</w:t>
      </w:r>
    </w:p>
    <w:p>
      <w:r>
        <w:rPr>
          <w:b/>
        </w:rPr>
        <w:t>E. 2.2</w:t>
      </w:r>
    </w:p>
    <w:p>
      <w:r>
        <w:t>Dans le cadre de mesures provisionnelles, le juge statue en application de la procédure sommaire (art. 271 let. a CPC) et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L'art. 296 al. 3 CPC prévoit que, dans la procédure applicable aux enfants dans les affaires de droit de la famille, le tribunal n'est pas lié par les conclusions des parties. Cette disposition consacre la maxime d'office, laquelle prévaut également devant l'autorité d'appel (ATF 128 III 411 consid. 3.1 ; TF 5A_472/2019 du 3 novembre 2020 consid. 4.2.1 ; TF 5A_288/2019 du 16 août 2019 consid. 5.4 ; TF 5A_420/2016 du 7 février 2017 consid. 2.2). Dans ce cadre, le juge ordonne les mesures nécessaires sans être lié par les conclusions des parties et même en l'absence de conclusions (ATF 128 III 411 consid. 3.1 et les références citées).</w:t>
      </w:r>
    </w:p>
    <w:p>
      <w:r>
        <w:rPr>
          <w:b/>
        </w:rPr>
        <w:t>E. 3.1</w:t>
      </w:r>
    </w:p>
    <w:p>
      <w:r>
        <w:t>La cause étant soumise à la maxime inquisitoire illimitée, les pièces produites par les parties sont recevables indépendamment des conditions posées par l’art. 317 al. 1 CPC (ATF 144 III 349 consid. 4.2.1 et les références citées).</w:t>
      </w:r>
    </w:p>
    <w:p>
      <w:r>
        <w:rPr>
          <w:b/>
        </w:rPr>
        <w:t>E. 3.2.1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(TF 5A_695/2020 du 26 avril 2021 consid. 3.2.2).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 ATF 138 III 374 consid. 4.3.2 ; TF 5A_695/2020 du 26 avril 2021 consid. 3.2.2 ; TF 5A_583/2016 du 4 avril 2017 consid. 3.1.2.2 ; TF 5A_86/2016 du 5 septembre 2016 consid. 3.1).</w:t>
      </w:r>
    </w:p>
    <w:p>
      <w:r>
        <w:rPr>
          <w:b/>
        </w:rPr>
        <w:t>E. 3.2.2</w:t>
      </w:r>
    </w:p>
    <w:p>
      <w:r>
        <w:t>En l’occurrence, l’appelante n’explique pas les raisons pour lesquelles il faudrait requérir la production en mains de l’intimé des justificatifs de paiement des pensions dues aux enfants pour la période du 1 er février 2021 au 30 juin 2022. Elle se contente en effet de soutenir qu’au vu de son revenu, l’intéressé serait en mesure d’assumer ses obligations et qu’il n’aurait pas versé l’entier des pensions entre février et septembre 2021, puis plus rien. Ce faisant, elle ne précise pas en quoi cette circonstance serait pertinente pour juger de son appel, ce que l’on ne discerne d’ailleurs pas. La mesure probatoire requise par l’appelante doit par conséquent être rejetée.</w:t>
      </w:r>
    </w:p>
    <w:p>
      <w:r>
        <w:rPr>
          <w:b/>
        </w:rPr>
        <w:t>E. 4.1</w:t>
      </w:r>
    </w:p>
    <w:p>
      <w:r>
        <w:t>Reprochant à l’autorité précédente d’avoir considéré que la situation financière de l’intimé s’était péjorée au regard de celle qui prévalait lors de la signature de la convention du 11 février 2021, l’appelante soutient en premier lieu que l’intimé aurait perçu en moyenne un revenu mensuel de 3'391.18 euros de l’assurance-chômage entre les mois de février à mai 2021, soit un montant supérieur à celui qui avait été retenu dans le cadre de ladite convention. L’intimé fait valoir que selon la pièce 151, il aurait été indemnisé durant 244 jours à raison de 87.15 euros entre octobre 2020 et juin 2021 et durant 20 jours à raison de 82.31 euros lors du mois de juillet 2021, ce qui démontrerait un revenu mensuel de 1'891.15 pour la première période, respectivement de 1'646.20 pour la seconde. Il s’agirait ainsi de montants bien inférieurs aux 2'400 euros retenus dans la convention.</w:t>
      </w:r>
    </w:p>
    <w:p>
      <w:r>
        <w:rPr>
          <w:b/>
        </w:rPr>
        <w:t>E. 4.2</w:t>
      </w:r>
    </w:p>
    <w:p>
      <w:r>
        <w:t>Il résulte des attestations de paiement délivrées par l’agence Pôle emploi [...] les 12 juin et 24 octobre 2021 (P. 3 et 151) que l’intimé a perçu à titre d’indemnités de chômage des montants de 6'962.66 euros le 22 février 2021, de 2'009.84 euros le 2 mars 2021, de 2'225.18 euros le 1 er avril 2021, de 230.02 euros le 30 avril 2021, de 2'211 euros le 3 mai 2021, de 2'284.70 euros le 1 er juin 2021, de 2'211 euros le 9 juillet 2021, de 1'670.88 euros le 6 août 2021 et de 3'932.98 euros le 30 août 2021. Le total de ces versements est de 23'738.26 euros, ce qui équivaut à un revenu mensuel net moyen pour la période considérée de sept mois de 3'391.18 euros comme le soutient l’appelante. Le fait que certains des montants versés comprendraient, selon l’intimé, des arriérés n’y change rien. Cela étant, le fait que l’intimé bénéficiait d’indemnités de chômage plus élevées n’est pas pertinent pour l’issue du litige dès lors que l’intéressé ne perçoit actuellement plus ces indemnités et qu’il exerce désormais une activité lucrative indépendante. On rappellera en effet que le moment déterminant pour apprécier si des circonstances nouvelles se sont produites est la date du dépôt de la demande de modification, soit en l’occurrence le 17 septembre 2021, alors que l’intimé avait déjà débuté son activité indépendante et ne percevait plus les indemnités de chômage ; c’est donc à ce moment-là qu’il y a lieu de se placer pour déterminer le revenu de l’intéressé et son évolution prévisible (cf. ATF 137 III 604 consid. 4.1.1 ; ATF 120 II 285 consid. 4b ; TF 5A_190/2020 du 30 avril 2021 consid. 3). Certes, l’intimé faisait valoir en première instance que les pensions prévues par la convention du 11 février 2021 entamaient son minimum vital puisqu’il aurait en réalité perçu du chômage un montant inférieur aux 2'400 euros mentionnés dans cette convention. Le président ne l’a toutefois pas suivi sur ce point dès lors qu’il a retenu que ce n’était que par la suite que le revenu de l’intimé avait diminué. Or, dans la mesure où l’intimé n’a pas fait appel de l’ordonnance, il ne se justifie pas d’examiner si le revenu perçu du chômage était inférieur à ce qui était prévu par la convention. L’application de la maxime d’office ne change rien à ce constat. Il en découle que les arguments de l’intimé concernant la période de février à août 2021 sont sans pertinence.</w:t>
      </w:r>
    </w:p>
    <w:p>
      <w:r>
        <w:rPr>
          <w:b/>
        </w:rPr>
        <w:t>E. 5.1</w:t>
      </w:r>
    </w:p>
    <w:p>
      <w:r>
        <w:t>et les références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w:t>
      </w:r>
    </w:p>
    <w:p>
      <w:r>
        <w:rPr>
          <w:b/>
        </w:rPr>
        <w:t>E. 5.2.1</w:t>
      </w:r>
    </w:p>
    <w:p>
      <w:r>
        <w:t>Selon l’art. 286 al. 2 CC – applicable par renvoi de l’art. 134 al. 2 CC –, si la situation change notablement, le juge modifie ou supprime la contribution d’entretien à la demande du père, de la mère ou de l’enfant.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141 III 376 consid. 3.3.1 ; ATF 131 III 189 consid. 2.7.4, JdT 2005 I 324 ; TF 5A_378/2021 du 7 septembre 2022 consid. 3 ; TF 5A_400/2018 du 28 août 2018 consid. 3 ; TF 5A_64/2018 du 14 août 2018 consid. 3.1).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publié in FamPra.ch 2020 p. 177 ; TF 5A_562/2011 du 21 février 2012 consid. 4.2, rés. RMA 2012 p. 300). Le caractère notable de la modification alléguée se détermine in concreto , en fonction de chaque cas particulier, en comparant les situations avant et après le changement de circonstances (TF 5A_917/2015 du 4 mars 2016 consid. 3 ; TF 5A_93/2011 du 13 septembre 2011 consid. 6.1). Des comparaisons en pourcentages des revenus peuvent représenter un indice utile, mais ne dispensent pas le juge d'une analyse concrète du cas d'espèce (TF 5A_138/2015 du 1 er avril 2015 consid. 4.1.2).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5A_523/2021 du 29 mars 2022 consid. 3.1 ; TF 5A_151/2016 du 27 avril 2016 consid. 3.1 et les références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w:t>
      </w:r>
    </w:p>
    <w:p>
      <w:r>
        <w:rPr>
          <w:b/>
        </w:rPr>
        <w:t>E. 5.2.2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 TF 5A_220/2020 du 28 août 2020 consid. 3.3 ; TF 5A_676/2019 du 12 mars 2020 consid. 3.2).</w:t>
      </w:r>
    </w:p>
    <w:p>
      <w:r>
        <w:rPr>
          <w:b/>
        </w:rPr>
        <w:t>E. 5.3</w:t>
      </w:r>
    </w:p>
    <w:p>
      <w:r>
        <w:t>En l’espèce, dès lors que la maxime inquisitoire illimitée est applicable à la présente cause (cf. supra consid. 2.2), il peut être tenu compte de la pièce 51 produite par l’intimé le 2 mai 2022, sur réquisition de l’appelante, dans la procédure au fond de première instance. Ce titre figure au dossier de la cause dans son ensemble, qui comprend la procédure au fond et les procédures provisionnelles. Ladite pièce 51 est constituée de déclarations mensuelles du chiffre d’affaires de l’intimé pour les mois de juin 2021 à mars 2022. En juin et juillet 2021, l’intimé a déclaré un chiffre d’affaires nul. En août 2021, il a déclaré un chiffre d’affaires des prestations de services commerciales ou artisanales de 622 euros sur lequel il devait des cotisations sociales de 70 euros, ce qui correspond à un montant net de 552 euros. En septembre 2021, il a déclaré un chiffre d’affaires des prestations de services commerciales ou artisanales de 1'415 euros sur lequel il devait des cotisations sociales de 160 euros (à savoir 156 euros pour les prestations de service et 4 euros pour la « formation artisan obligatoire » de 0.30% calculée uniquement sur le chiffre d’affaires des prestations de services commerciales ou artisanales), ce qui correspond à un montant net de 1'255 euros. On précisera qu’il ne sera pas tenu compte du chiffre d’affaires des ventes de marchandises figurant sur ce document dès lors que l’on ignore tout du prix d’achat de ces marchandises. En octobre 2021, l’intimé a déclaré un chiffre d’affaires des prestations de services commerciales ou artisanales de 2'500 euros sur lequel il devait des cotisations sociales de 283 euros, ce qui correspond à un montant net de 2'217 euros. En novembre 2021, il a déclaré un chiffre d’affaires des prestations de services commerciales ou artisanales de 1'703 euros sur lequel il devait des cotisations sociales de 192 euros, ce qui correspond à un montant net de 1'511 euros. En décembre 2021, il a déclaré un chiffre d’affaires des « autres prestations de services » de 3'790 euros sur lequel il devait des cotisations sociales de 428 euros, ce qui correspond à un montant net de 3'362 euros. En janvier 2022, il a déclaré un chiffre d’affaires des prestations de services commerciales ou artisanales de 4'094 euros sur lequel il devait des cotisations sociales de 482 euros, ce qui correspond à un montant net de 3'612 euros. En février 2022, l’intimé a déclaré un chiffre d’affaires des prestations de services commerciales ou artisanales de 2'198 euros sur lequel il devait des cotisations sociales de 260 euros, ce qui correspond à un montant net de 1'938 euros. Enfin, en mars 2022, il a déclaré un chiffre d’affaires des prestations de services commerciales ou artisanales de 2'424 euros sur lequel il devait des cotisations sociales de 286 euros, ce qui correspond à un montant net de 2'138 euros. Ces résultats étant variables, il se justifie de calculer une moyenne de ceux-ci. Contrairement à ce que soutient l’intimé, il n’est pas possible de faire une moyenne sur plusieurs années dès lors qu’il n’a débuté son activité indépendante qu’en juin 2021. Il convient ainsi de son fonder sur les résultats connus. Cela étant, les résultats des mois de juin et juillet 2021 ne seront pas pris en compte car ils ne sont pas suffisamment représentatifs, l’intimé venant alors de mettre en place son activité indépendante et n’ayant vraisemblablement pas exercé d’activité puisqu’il n’a pas déclaré de chiffre d’affaires. L’intéressé n’en tient d’ailleurs pas compte lorsqu’il entreprend de calculer son revenu moyen. En tenant compte de la moyenne des chiffres précités pour la période d’août 2021 à mars 2022, l’intimé a réalisé un chiffre d’affaires moyen, après déduction des cotisations sociales, de quelque 2'073 euros. Mais si l’on ne prend en considération que la période courant de janvier à mars 2022, qui apparaît plus représentative de l’activité indépendante déployée par l’intimé dès lors qu’il s’agit d’une période récente postérieure aux premiers mois d’activité dont les résultats sont généralement moins bons puisqu’il s’agissait de mettre en place une nouvelle activité, le résultat moyen est de quelque 2'562 euros, soit un montant légèrement supérieur aux 2'400 euros définis dans la convention du 11 février 2021. On aboutit au même constat en prenant en considération les résultats des six derniers mois connus, à savoir la période d’octobre 2021 à mars 2022, puisqu’on obtient une moyenne de 2'463 euros. La comparaison du résultat moyen de l’année 2021, soit 1'779 euros avec celui connu de l’année 2022, à savoir 2'562 euros, démontre d’ailleurs une progression. Certes, les chiffres dont il est fait état ci-dessus ne tiennent pas compte des charges professionnelles autres que les cotisations sociales. A cet égard, deux constats s’imposent. Soit il faut considérer qu’il appartenait à l’intimé d’établir ses charges professionnelles et, comme il ne l’a pas fait, que l’on ignore quels sont ses revenus nets. Partant, la requête de modification de l’intimée devrait être rejetée puisque son revenu mensuel net n’est ni déterminé ni déterminable. Soit il faut considérer que les charges professionnelles de l’intéressé sont négligeables vu la nature de l’activité indépendante déployée et que les chiffres d’affaires précités, après déduction des cotisations sociales, correspondent au bénéfice net. Même dans sa réponse à l’appel, l’intimé n’invoque à cet égard, qui plus est de manière assez vague et sans mentionner aucun montant, que l’achat de matériel, la publicité et le site Internet, qui auraient selon lui fait baisser son bénéfice net « pour les premiers mois ». A cela s’ajoute que l’intéressé admet dans son écriture, lorsqu’il entreprend de présenter les différents résultats de son activité indépendante (réponse p. 6), que les chiffres d’affaires réalisés sous déduction des cotisations sociales constituent le bénéfice de son activité et donc son revenu. On retiendra donc que le revenu mensuel net de l’intimé équivaut à la moyenne des chiffres d’affaires réalisés après déduction des cotisations sociales. Au vu de ce qui a été exposé, on constate qu’à compter du mois d’octobre 2021 déjà, soit trois mois après avoir débuté son activité indépendante, l’intimé est en mesure de réaliser un revenu moyen équivalent au revenu dont il a été tenu compte dans la convention du 11 février 2021. Dans ces conditions, il n’y a pas de changement notable et durable de sa situation, de sorte que sa requête de mesures provisionnelles aurait dû être rejetée. L’appel doit donc être admis sur ce point. Compte tenu de ce résultat, la question de l’imputation d’un revenu hypothétique à l’intimé ou celle de savoir si l’on peut attendre de celui-ci qu’il s’installe en Suisse pour augmenter son revenu, également soulevées par l’appelante, perdent leur objet et n’ont pas à être examinées.</w:t>
      </w:r>
    </w:p>
    <w:p>
      <w:r>
        <w:rPr>
          <w:b/>
        </w:rPr>
        <w:t>E. 6.1</w:t>
      </w:r>
    </w:p>
    <w:p>
      <w:r>
        <w:t>L’appelante fait grief à l’autorité précédente d’avoir rejeté sa conclusion reconventionnelle tendant à ce que les pensions dues aux enfants soient augmentées en raison d’une augmentation de ses propres charges. Elle fait valoir que depuis le 1 er mars 2021, son loyer mensuel net serait de 1'490 fr., montant auquel s’ajoutent un acompte de charges de 180 fr. et une place de parc à 80 fr., ce qui modifierait la part au loyer des enfants. Elle soutient également que les contributions d’entretien servies aux enfants impacteraient sa charge fiscale, et donc la part aux impôts des enfants. L’appelante entreprend ensuite de calculer les coûts des enfants en tenant compte de frais médicaux non remboursés pour chacune d’entre elles. La conclusion reconventionnelle de l’appelante équivaut à une demande de modification des pensions fixées par la convention du 11 février 2021, qui est soumise aux mêmes conditions que celle de l’intimé, telles que rappelées ci-dessus (cf. supra consid. 5.2.1).</w:t>
      </w:r>
    </w:p>
    <w:p>
      <w:r>
        <w:rPr>
          <w:b/>
        </w:rPr>
        <w:t>E. 6.2</w:t>
      </w:r>
    </w:p>
    <w:p>
      <w:r>
        <w:t>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5A_763/2020 du 21 septembre 2021 cosnid. 2.2 ; TF 5A_964/2018 du 26 juin 2019 consid. 3.2.1 ; TF 5A_760/2016 du 5 septembre 2017 cosnid. 5.1).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w:t>
      </w:r>
    </w:p>
    <w:p>
      <w:r>
        <w:rPr>
          <w:b/>
        </w:rPr>
        <w:t>E. 6.3</w:t>
      </w:r>
    </w:p>
    <w:p>
      <w:r>
        <w:t>En l’espèce, il se justifie de considérer que la charge d’impôt supplémentaire devant être assumée par l’appelante qui est induite par les contributions d’entretien payées par l’intimé était plus que prévisible au moment de la conclusion de la convention du 11 février 2021. Il est en effet inconcevable que les parties, chacune assistée d’un mandataire, n’y aient alors pas songé et n’en aient pas tenu compte au moment de définir le montant desdites contributions. Il ne s’agit dès lors pas d’un fait nouveau pouvant justifier une modification de cette réglementation. S’agissant de la charge de loyer invoquée par l’appelante, on constate que la convention du 11 février 2021 indique que l’intéressée n’a pour l’instant pas de charges locatives (ch. XI in fine ). Figure au dossier (P. 52/1 produite le 12 octobre 2021) la première page du bail à loyer du logement actuel de l’appelante, sis [...], qui indique que le bailleur est représenté par [...] SA et que ce contrat a débuté le 1 er mars 2021, soit dix-sept jours après la conclusion de la convention. Si l’on ignore à quelle date ce bail a été signé puisque seule sa première page a été produite, celui-ci a plus que vraisemblablement été conclu avant son entrée en vigueur. Parmi les pièces produites par l’appelante lors de l’audience du 11 février 2021, figure également un courriel qu’elle a adressé à [...] SA avec une demande de location pour un logement sis « [...] », dépourvu de date. Il s’agit vraisemblablement de la demande de location pour son logement actuel. Compte tenu de ces éléments, il est difficile de considérer que la charge locative de l’appelante n’était pas prévisible et n’a pas été prise en considération au moment où la convention a été conclue. On renoncera toutefois à instruire sur la question des dates des documents précités. En effet, on constate que les charges mensuelles de l’intimé telles que retenues par l’autorité précédente s’élèvent à 2'105 fr. total. Ces charges ne sont pas valablement contestées par l’appelante dès lors qu’elle se contente d’affirmer dans son mémoire qu’il ne s’acquitterait pas de toutes ses charges (appel pp. 6-7), ce qui ne satisfait pas aux exigences de motivation de l’appel découlant de l’art. 311 al. 1 CPC. Vu les moyens limités à disposition, on pourrait certes ne pas tenir compte du prêt à la consommation comptabilisé par le président à raison de 105 fr. sur la base du ch. X de la convention du 11 février 2021, ce qui permettrait de retenir des charges de 2'000 francs. Cela étant, même en retenant ce dernier montant, il est exclu d’augmenter les contributions d’entretien mises à la charge de l’intimé dès lors que son revenu mensuel est de l’ordre de 2'400 fr. et qu’une augmentions des pensions entamerait son minimum vital. En ce qui concerne enfin les frais médicaux non remboursés des enfants invoqués par l’appelante, celle-ci n’explicite pas son grief. Elle se borne en effet à indiquer que compte tenu de l’impact des pensions sur son imposition et de la part au loyer, « les coûts mensuels relatifs à Q.________ s’élèvent à CHF 1'200.- par mois après prise en compte des frais médicaux non remboursés de CHF 116.60 (pièce 19 de la Demande, de CHF 1'399.50 en 2020) et pour G.________ à CHF 1'300.- après prise en compte des frais médicaux non remboursés (pièce 20 de la Demande, de CHF 240.20 pour 2020) ». En particulier, l’appelante ne soutient pas que les frais médicaux des enfants seraient nouveaux ou auraient augmentés au regard de ceux pris en considération lors de la conclusion de la convention du 11 février 2021. Il ne sera dès lors pas entré en matière sur ce point en raison d’un défaut de motivation. Il s’ensuit qu’il y a lieu de confirmer l’ordonnance en tant qu’elle rejette la conclusion reconventionnelle de l’appelante. L’appel sera donc rejeté sur ce point.</w:t>
      </w:r>
    </w:p>
    <w:p>
      <w:r>
        <w:rPr>
          <w:b/>
        </w:rPr>
        <w:t>E. 7.1</w:t>
      </w:r>
    </w:p>
    <w:p>
      <w:r>
        <w:t>En définitive, l’appel doit être partiellement admis en ce sens que la requête de mesures provisionnelles déposée par l’intimé le 17 septembre 2021 est rejetée.</w:t>
      </w:r>
    </w:p>
    <w:p>
      <w:r>
        <w:rPr>
          <w:b/>
        </w:rPr>
        <w:t>E. 7.2</w:t>
      </w:r>
    </w:p>
    <w:p>
      <w:r>
        <w:t>Si l’instance d’appel statue à nouveau, elle se prononce sur les frais – soit les frais judiciaires et les dépens (art. 95 al. 1 CPC) – de la première instance (art. 318 al. 3 CPC). En l’occurrence, dans la mesure où la requête de l’intimé tendant à la suppression des pensions et la conclusion reconventionnelle de l’appelante tendant à une augmentation de celles-ci ont toutes deux été rejetées, il se justifie de répartir les frais judiciaires de première instance, arrêtés à 400 fr. – montant non contesté en appel –, par moitié entre les parties, à raison de 200 fr. chacune, et de compenser les dépens de première instance (art. 106 al. 2 CPC). Dès lors que chaque partie bénéficiait de l’assistance judiciaire pour la procédure de première instance, la part des frais judiciaires respectivement mise à leur charge sera laissée à la charge de l’Etat ( art. 122 al. 1 let. b CPC), les parties étant tenues à remboursement dès qu’elles seront en mesure de le faire (art. 123 CPC).</w:t>
      </w:r>
    </w:p>
    <w:p>
      <w:r>
        <w:rPr>
          <w:b/>
        </w:rPr>
        <w:t>E. 7.3</w:t>
      </w:r>
    </w:p>
    <w:p>
      <w:r>
        <w:t>Vu l’issue de l’appel et pour les mêmes motifs qu’exposés ci-dessus, les frais judiciaires de deuxième instance, arrêtés à 600 fr. (art. 65 al. 2 TFJC [Tarif des frais judiciaires civils du 28 septembre 2010 ; BLV 270.11.5]), seront répartis par moitié entre les parties et mis à la charge de l’appelante par 300 fr. et de l’intimé par 300 fr. (art. 106 al. 2 CPC). Toutefois, dès lors que chaque partie est au bénéfice de l’assistance judiciaire pour la procédure d’appel, la part des frais judiciaires respectivement mise à leur charge sera provisoirement laissée à la charge de l’Etat (art. 122 al. 1 let. b CPC). Les dépens de deuxième instance sont compensés.</w:t>
      </w:r>
    </w:p>
    <w:p>
      <w:r>
        <w:rPr>
          <w:b/>
        </w:rPr>
        <w:t>E. 7.4.1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7.4.2.1</w:t>
      </w:r>
    </w:p>
    <w:p>
      <w:r>
        <w:t>Le conseil d’office de l’appelante a indiqué dans sa liste des opérations du 30 septembre 2022 avoir consacré 8.58 heures au dossier et a revendiqué des débours correspondant à un forfait de 2% de sa rémunération hors taxe. Vu la nature du litige et les difficultés de la cause, ce décompte peut être admis. Il s’ensuit qu’au tarif horaire de 180 fr., l’indemnité d’office de Me Fluri doit être fixée à 1'544 fr. 40, montant auquel s’ajoutent les débours par 30 fr. 90 (2% de 1'544 fr. 40 ; art. 3bis al. 1 RAJ) et la TVA sur le tout par 121 fr. 30, soit à 1'696 fr. 60 au total.</w:t>
      </w:r>
    </w:p>
    <w:p>
      <w:r>
        <w:rPr>
          <w:b/>
        </w:rPr>
        <w:t>E. 7.4.2.2</w:t>
      </w:r>
    </w:p>
    <w:p>
      <w:r>
        <w:t>Le conseil d’office de l’intimé a indiqué dans sa liste des opérations du 3 octobre 2022 qu’une collaboratrice de son étude avait consacré 10 heures et 35 minutes au dossier et qu’elle y avait elle-même consacré 30 minutes, en précisant que cette dernière durée était offerte. Elle a également revendiqué des débours correspondant à un forfait de 2% de sa rémunération hors taxe. Vu la nature du litige et les difficultés de la cause, ce décompte peut également être admis. Il s’ensuit qu’au tarif horaire de 180 fr., l’indemnité d’office de Me Brodard doit être fixée 1'905 fr., montant auquel s’ajoutent les débours par 38 fr. 10 (2% de 1'905 fr.) et la TVA sur le tout par 149 fr. 60, soit à 2'092 fr. 70 au total.</w:t>
      </w:r>
    </w:p>
    <w:p>
      <w:r>
        <w:rPr>
          <w:b/>
        </w:rPr>
        <w:t>E. 7.5</w:t>
      </w:r>
    </w:p>
    <w:p>
      <w:r>
        <w:t>Les parties, bénéficiaires de l’assistance judiciaire, sont tenues au remboursement des frais judiciaires et de l’indemnité de leurs conseils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Il est statué à nouveau comme il suit : I.              rejette la requête de mesures provisionnelles déposée par N.________ le 17 septembre 2021 ; II.              rejette la conclusion reconventionnelle déposée par X.________ le 23 novembre 2021 ; III.              dit que N.________ est tenu d’informer X.________ de tout changement de sa situation financière. IV.              arrête les frais judiciaires à 200 fr. (deux cents francs) à la charge de N.________ et à 200 fr. (deux cents francs) à la charge de X.________ et les laisse provisoirement à la charge de l’Etat, sous réserve de l’art. 123 CPC. V.              dit que les dépens sont compensés. III. Les frais judiciaires de deuxième instance, arrêtés à 300 fr. (trois cents francs) pour l’appelante X.________ et à 300 fr. (trois cents francs) pour l’intimé N.________, sont provisoirement laissés à la charge de l’Etat. IV. Les dépens de deuxième instance sont compensés. V. L’indemnité d’office de Me Nathalie Fluri, conseil d’office de l’appelante X.________, est arrêtée à 1'696 fr. 60 (mille six cent nonante-six francs et soixante centimes), débours et TVA compris. VI. L’indemnité d’office de Me Anaïs Brodard, conseil d’office de l’intimé N.________, est arrêtée à 2'092 fr. 70 (deux mille nonante-deux francs et septante centimes), débours et TVA compris. VII. L’arrêt est exécutoire. Le juge unique :               Le greffier : Du Le présent arrêt, dont la rédaction a été approuvée à huis clos, est notifié en expédition complète à : ‑ Me Nathalie Fluri (pour X.________), ‑ Me Anaïs Brodard (pour N.________),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