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571 vom 13. Juli 2023</w:t>
      </w:r>
    </w:p>
    <w:p>
      <w:r>
        <w:t>VD Tribunal cantonal, 2023-07-13, FR</w:t>
      </w:r>
    </w:p>
    <w:p>
      <w:r>
        <w:rPr>
          <w:b/>
        </w:rPr>
        <w:t xml:space="preserve">Quelle: </w:t>
      </w:r>
      <w:r>
        <w:t>https://mcp.opencaselaw.ch/entscheid/vd_findinfo_571___________</w:t>
      </w:r>
    </w:p>
    <w:p>
      <w:r>
        <w:t>FR: VD_FINDINFO 571 du 13 juillet 2023</w:t>
      </w:r>
    </w:p>
    <w:p>
      <w:r>
        <w:t>IT: VD_FINDINFO 571 del 13 luglio 2023</w:t>
      </w:r>
    </w:p>
    <w:p>
      <w:pPr>
        <w:pStyle w:val="Heading2"/>
      </w:pPr>
      <w:r>
        <w:t>Regeste</w:t>
      </w:r>
    </w:p>
    <w:p>
      <w:r>
        <w:t>DÉTENTION PROVISOIRE, RISQUE DE FUITE | 221 al. 1 let. a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conteste la validité de la demande de prolongation de sa détention provisoire déposée le 16 juin 2023 par le Ministère public. Il fait valoir en particulier ce qui suit : «               (…) On peine (…) à déceler dans la demande de prolongation du Ministère public du 16 juin 2023 en quoi la nécessité de maintenir (le prévenu) en détention serait plus "claire" qu’au début du mois de juin 2023. Quand bien même la défense rejoint le (Tribunal des mesures de contrainte) quant à son appréciation sur le fait que chaque prolongation de la détention provisoire peut amener cette autorité à la prolonger d’une durée plus conséquente lors des prochaines demandes, l’on s’étonne tout de même de la nature des explications données par le parquet, dans sa motivation du 16 juin 2023, (qui) ne permettent pas au recourant d’évaluer concrètement et de se déterminer en bonne et due forme sur celles-ci, violant ainsi son droit d’être entendu au sens de l’art. 29 al. 2 de la Constitution fédérale » (recours, p. 11 in fine). Il suffit de constater que le grief ainsi articulé ne concerne pas l’ordonnance du Tribunal des mesures de contrainte – seule sujette à recours et unique objet de la présente procédure –, singulièrement sous l’angle de sa motivation, mais la seule saisine adressée à cette autorité. Il est donc irrecevable, faute de toute violation du droit d’être entendu susceptible de relever de la cognition de l’autorité de céans.</w:t>
      </w:r>
    </w:p>
    <w:p>
      <w:r>
        <w:rPr>
          <w:b/>
        </w:rPr>
        <w:t>E. 4</w:t>
      </w:r>
    </w:p>
    <w:p>
      <w:r>
        <w:t>Quant aux conditions de la détention provisoire, le recourant ne conteste pas, à juste titre, l’existence de soupçons suffisants de commission d’un crime ou d’un délit (art. 221 al. 1 CPP). Comme la Cour de céans l’a relevé dans son précédent arrêt, cette condition est en effet réalisée puisqu’il a été interpellé en flagrant délit et reconnait l’essentiel des faits.</w:t>
      </w:r>
    </w:p>
    <w:p>
      <w:r>
        <w:rPr>
          <w:b/>
        </w:rPr>
        <w:t>E. 5</w:t>
      </w:r>
    </w:p>
    <w:p>
      <w:r>
        <w:t>En revanche, le recourant conteste d’abord l'existence du risque de fuite retenu par le Tribunal des mesures de contrainte (art. 221 al. 1 let. a CPP). Il fait valoir qu’il est domicilié chez ses parents, qu’il n’a pas les moyens de vivre ailleurs et que, au demeurant, il admet l’essentiel des faits incriminés, ce qui dénoterait sa volonté de collaborer à l’enquête plutôt que d’échapper aux conséquences pénales de ses actes. Il suffit, à cet égard, de renvoyer aux motifs de l’arrêt du 21 juin 2023 (cf. consid. 4.2), envoyé aux parties le 27 juin 2023, dès lors que la situation du recourant n’a manifestement pas changé depuis lors dans une mesure qui commanderait une appréciation différente. Du reste, le recourant n’expose pas en quoi la situation aurait changé. Le fait qu’il ait admis la plupart des cas qui lui sont reprochés est sans incidence à cet égard.</w:t>
      </w:r>
    </w:p>
    <w:p>
      <w:r>
        <w:rPr>
          <w:b/>
        </w:rPr>
        <w:t>E. 6</w:t>
      </w:r>
    </w:p>
    <w:p>
      <w:r>
        <w:t>Le recourant conteste ensuite l’existence du risque de réitération également retenu par le Tribunal des mesures de contrainte (art. 221 al. 1 let. c CPP). Il fait valoir que les infractions dont il est poursuivi ne sont pas dangereuses. Il ajoute que, dans son arrêt du 28 mars 2023, la Cour de céans n’avait pas écarté la possibilité d’une récidive et s’en était accommodée. Il en déduit, en substance, que l’existence du risque de réitération au sens légal doit désormais être écarte, dès lors que péril n’atteint pas le seuil de gravité qui justifierait la détention provisoire ou une prolongation de cette détention, et ce même si la réalisation de ce risque reste possible. Il suffit, à cet égard également, de renvoyer aux motifs de l’arrêt du 21 juin 2023 (cf. consid. 5.2), dès lors que la situation du prévenu n’a manifestement pas changé depuis lors et que les motifs en question répondent exactement aux griefs soulevés dans la présente procédure. Du reste, le recourant n’expose pas pour quelles raisons la situation devrait être appréciée différemment. Si l’appréciation de la Cour de céans a été différente en mars 2023, notamment parce que l’enquête avait progressé et qu’il convenait d’examiner si le recourant pouvait ne pas récidiver en cours d’enquête, il avait toutefois été averti que cette appréciation pourrait changer en cas de réitération.</w:t>
      </w:r>
    </w:p>
    <w:p>
      <w:r>
        <w:rPr>
          <w:b/>
        </w:rPr>
        <w:t>E. 7</w:t>
      </w:r>
    </w:p>
    <w:p>
      <w:r>
        <w:t>Enfin, le recourant requiert, à titre subsidiaire, la mise en œuvre de mesures de substitution (art. 237 CPP), singulièrement à forme d’une obligation de se présenter hebdomadairement à un service administratif. Il estime que de telles mesures sont d’autant plus indiquées que sa détention provisoire a été prolongée de deux mois. Il suffit, ici encore, de renvoyer aux motifs de l’arrêt du 21 juin 2023 (cf. consid. 6.2), dès lors que la situation du prévenu n’a manifestement pas changé depuis lors à cet égard non plus et que les motifs en question répondent exactement aux griefs soulevés dans la présente procédure, tant pour ce qui est du risque de fuite que du risque de récidive. La prolongation de la détention provisoire pour une durée limitée à deux mois n’y change rien sous l’angle du principe de proportionnalité. En particulier, c’est en vain que le recourant fait grief au Tribunal des mesures de contrainte d’avoir retenu, dans sa précédente ordonnance, du 6 juin 2023, qu’une détention provisoire limitée à une durée d’un mois devrait suffire à le renvoyer devant l’autorité de jugement, pour considérer dorénavant qu’une durée supplémentaire de deux mois était nécessaire pour mener à terme l’enquête. Ce grief n’est en effet pas pertinent, dès lors que – comme le recourant le relève du reste lui-même (cf. consid. 2 ci-dessus) – le juge de la détention dispose de la faculté de modifier son appréciation au vu des développements des investigations ; tel est en particulier le cas, comme en l’espèce, en présence d’une jonction de causes décidée dans l’intervalle séparant les deux ordonnances. Au demeurant, le Tribunal des mesures de contrainte a exposé les motifs pour lesquels il avait procédé ainsi, et le recourant n’attaque pas cette motivation.</w:t>
      </w:r>
    </w:p>
    <w:p>
      <w:r>
        <w:rPr>
          <w:b/>
        </w:rPr>
        <w:t>E. 8</w:t>
      </w:r>
    </w:p>
    <w:p>
      <w:r>
        <w:t>Outre la détention déjà subie du 29 novembre 2022 au 29 mars 2023, le prévenu est détenu provisoirement depuis le 3 juin 2023. Sa détention provisoire a été prolongée pour une durée maximale de deux mois, soit jusqu’au 1 er septembre 2023. Compte tenu des faits qui lui sont reprochés et du concours d’infractions, il s’expose à une peine privative de liberté d’une quotité manifestement supérieure à la durée totale de la détention qu’il aura subie à cette date. Le principe de proportionnalité (art. 212 al. 3 CPP) est donc respecté, étant ajouté que l’enquête se poursuit.</w:t>
      </w:r>
    </w:p>
    <w:p>
      <w:r>
        <w:rPr>
          <w:b/>
        </w:rPr>
        <w:t>E. 9</w:t>
      </w:r>
    </w:p>
    <w:p>
      <w:r>
        <w:t>Au vu de ce qui précède, le recours, manifestement mal fondé, doit être rejeté sans échange d'écritures (art. 390 al. 2 CPP) et l'ordonnance entreprise confirmée. Les frais de la procédure de recours, constitués en l'espèce de l'émolument d'arrêt, par 1’210 fr. (art. 20 al. 1 TFIP [tarif des frais de procédure et indemnités en matière pénale du 28 septembre 2010 ; BLV 312.03.1]), et de l’indemnité due au défenseur d'office (art. 422 al. 1 et 2 let. a CPP), seront mis à la charge du recourant, qui succombe (art. 428 al. 1 CPP). L’indemnité sera fixée à 360 francs sur la base d’une durée d’activité nécessaire d’avocat de deux heures, au tarif horaire de 180 francs. A ces honoraires il convient d’ajouter des débours forfaitaires à concurrence de 2 % (art. 3 bis al. 1 RAJ [règlement sur l’assistance judiciaire en matière civile du 7 décembre 2010 ; BLV 211.02.3], applicable par renvoi de l’art. 26b TFIP), par 7 fr. 20, et la TVA, par 28 fr. 25, à hauteur de 396 fr. au total, en chiffres arrondis. Les moyens articulés dans l’acte de recours du 7 juillet 2023 sont dans une large mesure similaires à ceux déjà soulevés dans le précédent mémoire de recours, du 16 juin 2023, et auxquels la Chambre de céans avait répondu de manière détaillée dans l’arrêt du 21 juin 2023, envoyé aux parties le 27 juin 2023, sans que le recourant n’en tienne compte dans son recours. Le conseil du recourant est avisé que ces moyens ne seront pas indemnisés une troisième fois, étant précisé que la désignation d’un défenseur d’office pour la procédure pénale principale n’est pas un blanc-seing pour introduire des recours aux frais de l’Etat, notamment en matière de détention provisoire (cf. ATF 139 I 206 consid. 3.3.1 ; TF 1B_188/2022 du 9 mai 2023 consid. 5.2 et la réf. citée).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26 juin 2023 est confirmée. III. L’indemnité allouée au défenseur d’office d’R.________ est fixée à 396 fr. (trois cent nonante-six francs). IV. Les frais d’arrêt, par 1’210 fr. (mille deux cent dix francs), ainsi que l’indemnité due au défenseur d’office d’R.________, par 396 fr. (trois cent nonante-six francs), sont mis à la charge de ce dernier. V. Le remboursement à l’Etat de l’indemnité allouée au chiffre III ci-dessus ne sera exigible que pour autant que la situation financière d’R.________ le permette. VI. L’arrêt est exécutoire. La présidente :               Le greffier : Du Le présent arrêt, dont la rédaction a été approuvée à huis clos, est notifié, par l'envoi d'une copie complète, à : - Me [...], avocat (pour R.________), - Ministère public central, et communiqué à : ‑ Mme la Présidente du Tribunal des mesures de contrainte, - Mme la Procureure du Ministère public cantonal Strada, - Service de la population (R.________, [...].2003),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