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569 vom 13. Juli 2023</w:t>
      </w:r>
    </w:p>
    <w:p>
      <w:r>
        <w:t>VD Tribunal cantonal, 2023-07-13, FR</w:t>
      </w:r>
    </w:p>
    <w:p>
      <w:r>
        <w:rPr>
          <w:b/>
        </w:rPr>
        <w:t xml:space="preserve">Quelle: </w:t>
      </w:r>
      <w:r>
        <w:t>https://mcp.opencaselaw.ch/entscheid/vd_findinfo_569___________</w:t>
      </w:r>
    </w:p>
    <w:p>
      <w:r>
        <w:t>FR: VD_FINDINFO 569 du 13 juillet 2023</w:t>
      </w:r>
    </w:p>
    <w:p>
      <w:r>
        <w:t>IT: VD_FINDINFO 569 del 13 luglio 2023</w:t>
      </w:r>
    </w:p>
    <w:p>
      <w:pPr>
        <w:pStyle w:val="Heading2"/>
      </w:pPr>
      <w:r>
        <w:t>Regeste</w:t>
      </w:r>
    </w:p>
    <w:p>
      <w:r>
        <w:t>DÉTENTION AUX FINS D'EXPULSION, PROPORTIONNALITÉ, PRINCIPE DE LA CÉLÉRITÉ | 79 al. 1 LPA-VD, 75 al. 1 let. g LEI, 75 al. 1 let. h LEI, 76 al. 1 let. b ch. 1 LEI, 76 al. 1 let. b ch. 3 LEI, 76 al. 1 let. b ch. 4 LEI, 76 al. 4 LEI, 80 al. 6 LEI, 30 al. 2 LVLEI</w:t>
      </w:r>
    </w:p>
    <w:p>
      <w:pPr>
        <w:pStyle w:val="Heading2"/>
      </w:pPr>
      <w:r>
        <w:t>Erwägungen</w:t>
      </w:r>
    </w:p>
    <w:p>
      <w:r>
        <w:rPr>
          <w:b/>
        </w:rPr>
        <w:t>E. 1.1</w:t>
      </w:r>
    </w:p>
    <w:p>
      <w:r>
        <w:t>Sur requête du Service de la population, le Tribunal des mesures de contrainte statue sur la prolongation de la détention administrative conformément à l’art. 79 al. 2 LEI (art. 16a al. 3 LVLEI [loi du 18 décembre 2007 d'application dans le Canton de Vaud de la loi fédérale sur les étrangers et l’intégration ; BLV 142.11]). Les décisions prononcées par le Tribunal des mesures de contrainte peuvent faire l’objet d’un recours auprès du Tribunal cantonal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 le surplus aux dispositions de la LPA-VD (loi sur la procédure administrative du 28 octobre 2008 ; BLV 173.36).</w:t>
      </w:r>
    </w:p>
    <w:p>
      <w:r>
        <w:rPr>
          <w:b/>
        </w:rPr>
        <w:t>E. 1.2</w:t>
      </w:r>
    </w:p>
    <w:p>
      <w:r>
        <w:t>Déposé en temps utile et auprès de l’autorité compétente par une personne placée en détention administrative, qui a un intérêt digne de protection à l’annulation de l’ordonnance querellée, le recours de K.________ est recevable.</w:t>
      </w:r>
    </w:p>
    <w:p>
      <w:r>
        <w:rPr>
          <w:b/>
        </w:rPr>
        <w:t>E. 2.1</w:t>
      </w:r>
    </w:p>
    <w:p>
      <w:r>
        <w:t>L’art. 76 al. 1 LEI (loi fédérale sur les étrangers et l'intégration du 16 décembre 2005 ; RS 142.20) prévoit qu’après notification d’une décision de première instance de renvoi ou d’expulsion de la présente loi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la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(art. 76 al. 3 LEI). 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la personne refuse de décliner son identité, dépose plusieurs demandes d’asile sous des identités différentes, ne donne pas suite à une convocation à réitérées reprises et sans raisons valables ou n’observe pas d’autres prescriptions des autorités dans le cadre de la procédure d’asile (let. a), si elle menace sérieusement d’autres personnes ou met gravement en danger leur vie ou leur intégrité corporelle et fait l’objet d’une poursuite pénale ou a été condamnée pour ce motif (let. g) ou, notamment,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w:t>
      </w:r>
    </w:p>
    <w:p>
      <w:r>
        <w:rPr>
          <w:b/>
        </w:rPr>
        <w:t>E. 2.2</w:t>
      </w:r>
    </w:p>
    <w:p>
      <w:r>
        <w:t>En l’espèce, le recourant ne remet pas en question le fait que les conditions posées par les art. 75 al. 1 let. g et h et 76 al. 1 let. b ch. 1, 3 et 4 LEI soient réalisées. Il a été condamné à sept reprises entre 2015 et 2021, notamment pour des infractions contre le patrimoine et l’intégrité physique, ainsi qu’à la loi fédérale sur stupéfiants. Il a ainsi été condamné pour crime (cf. art. 10 al. 2 CP).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 si celle-ci est justifiée pour d’autres motifs, en particulier en raison de l’existence d’un risque de fuite et d’une menace sérieuse pour d’autres personnes. Quoi qu’il en soit, à titre superfétatoire, force est de constater que ces motifs sont, eux aussi, existants, compte tenu du fait que le recourant est un multirécidiviste, condamné notamment pour infractions à l’intégrité physique et vol, sur lequel les condamnations pénales et la détention n’exercent manifestement aucun effet. Il a en outre clairement démontré par son comportement qu’il n’était aucunement disposé à respecter les décisions rendues à son encontre et à retourner dans son pays d’origine. Bien qu’il fasse l’objet d’une décision de renvoi depuis 2017, il est demeuré illégalement en Suisse, ne cessant d’y commettre des infractions. En outre, les pièces au dossier démontrent à satisfaction qu’il a par trois fois refusé de procéder à un test de dépistage du Covid-19 nécessaire à son admission sur le territoire [...], de sorte que les trois vols prévus à son intention ont dû être annulés. K.________ a encore, par son comportement, mis en échec son renvoi par un vol « DEPA » à destination du [...] prévu le 29 mars 2023. Il s’agit d’éléments concrets au sens de l’art. 76 al. 1 let. b ch. 3 et 4 LEI faisant craindre qu’il entende se soustraire à son renvoi. Selon la jurisprudence exposée plus haut, un tel comportement permet de conclure à l'existence d'un risque de fuite ou de disparition.</w:t>
      </w:r>
    </w:p>
    <w:p>
      <w:r>
        <w:rPr>
          <w:b/>
        </w:rPr>
        <w:t>E. 3</w:t>
      </w:r>
    </w:p>
    <w:p>
      <w:r>
        <w:t>Invoquant les art. 76 al. 4 et 80 al. 6 LEI, ainsi qu’une violation des principes de la célérité et de la proportionnalité, le recourant soutient qu’il serait douteux qu’un vol spécial soit actuellement planifié. Selon lui, il existerait une impossibilité matérielle à l’exécution de son renvoi, le SPOP n’ayant du reste pas démontré avoir entrepris les démarches nécessaires entre le 29 mars et le 28 juin 2023.</w:t>
      </w:r>
    </w:p>
    <w:p>
      <w:r>
        <w:rPr>
          <w:b/>
        </w:rPr>
        <w:t>E. 3.1.1</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 consid. 4.1).</w:t>
      </w:r>
    </w:p>
    <w:p>
      <w:r>
        <w:rPr>
          <w:b/>
        </w:rPr>
        <w:t>E. 3.1.2</w:t>
      </w:r>
    </w:p>
    <w:p>
      <w:r>
        <w:t>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Selon le Tribunal fédéral, pour calculer, au regard de l'art. 79 LEI, la durée totale d'une détention ordonnée en vertu du droit des étrangers, il faut, en cas de détentions multiples, additionner les durées de détention d'une seule et même procédure de renvoi (ATF 145 II 313 consid. 3.1.2 ; ATF 143 II 113 consid. 3.2). Sous réserve de l’accord de l’autorité judiciaire cantonale, soit en l’occurrence du SPOP (cf. art. 3 al. 1 ch. 3bis LVLEI par renvoi de l’art. 98 al. 3 LEI), la durée maximale de la détention de l’étranger adulte peut donc être prolongée de douze mois au plus, ce qui porte la durée maximale pour tous types de détention confondus (hormis la rétention, art. 73 LEI) à 18 mois (Chatton et Merz, in : Nguyen et Amarelle [éd.], Code annoté de droit des migrations, vol. II, n. 7 ad art. 79 LEI). Ce plafond concerne non seulement la détention administrative ininterrompue, résultant de la prolongation d’une seule catégorie de détention (p. ex : la détention en vue du renvoi) ou d’une succession de différents titres de détention (p. ex : six mois de détention en phase préparatoire, suivie de huit mois de détention en vue du renvoi et de quatre mois de détention pour insoumission), mais il vaut aussi lorsqu’une nouvelle mise en détention, intervenant dans le cadre de la même procédure d’éloignement, est ordonnée à la suite de l’apparition d’un changement déterminant des circonstances (idem, n. 9 ad art. 79 LEI). La détention administrative devra être d’office levée par l’autorité aussitôt la durée maximale (prolongée) atteinte. Cette levée ne préjuge toutefois pas de la possibilité pour les autorités pénales de prononcer une détention pénale à l’encontre de l’étranger qui persisterait à demeurer illégalement en Suisse (s’agissant d’un délit continu), y compris pour violation de la LEI. En outre, la fin de la détention administrative n’empêchera pas automatiquement les autorités, lorsque les conditions propres en seront réunies, de soumettre l’étranger récalcitrant à une mesure d’assignation territoriale, voire à une obligation d’annonce régulière (Chatton et Merz, in : Nguyen et Amarelle [éd.], op. cit., n. 13 ad art. 79 LEI).</w:t>
      </w:r>
    </w:p>
    <w:p>
      <w:r>
        <w:rPr>
          <w:b/>
        </w:rPr>
        <w:t>E. 3.1.3</w:t>
      </w:r>
    </w:p>
    <w:p>
      <w:r>
        <w:t>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w:t>
      </w:r>
    </w:p>
    <w:p>
      <w:r>
        <w:rPr>
          <w:b/>
        </w:rPr>
        <w:t>E. 3.2</w:t>
      </w:r>
    </w:p>
    <w:p>
      <w:r>
        <w:t>En l’espèce, les conditions fixées par l’art. 80 al. 6 LEI ne sont pas réalisées. Il n’existe aucune impossibilité juridique ou matérielle à l’exécution du renvoi, respectivement de l’expulsion, mais au contraire, une possibilité très sérieuse d’y procéder dans un délai raisonnable. A cet égard, K.________ se contente d’émettre des doutes quant au fait qu’un vol spécial serait actuellement planifié. Or, rien au dossier ne permet de penser que le renvoi ne pourra pas être exécuté d’ici au 29 août 2023 et ce d’autant moins que le SPOP n’est pas resté inactif, comme le soutient à tort le recourant, puisqu’il a informé le Tribunal des mesures de contrainte que la date du vol spécial était désormais connue, celle-ci ne pouvant toutefois être communiquée pour des raisons évidentes de sécurité (cf. PV des opérations, p. 2). Le départ de l’intéressé apparaît ainsi imminent et celui-ci ne démontre pas qu’il pourrait être annulé pour des raisons matérielles ou juridiques. Par ailleurs, et comme l’a déjà relevé la Chambre de céans dans son arrêt du 17 avril 2023 (n° 305), on ne distingue aucune violation du principe de célérité. En effet, en l’espèce, l’organisation d’un vol spécial à destination du [...], procédure dont il est notoire qu’elle prend plus de temps que celle d’un vol « DEPU » ou « DEPA », est due à l’absence systématique de collaboration du recourant, celui-ci ayant mis en échec les quatre précédentes tentatives de refoulement, le dernier en date du 24 mars 2023, alors même qu’il était escorté de six policiers. On ne distingue pas davantage une violation du principe de la proportionnalité. Aucune mesure moins coercitive que la détention n’est envisageable compte tenu des multiples récidives du recourant et du risque de fuite retenu plus haut (cf. supra consid. 2.2). Le recourant n’en propose du reste aucune. Enfin, s’agissant de la durée de la détention prononcée, il y a lieu de prendre en compte la détention administrative déjà subie par le recourant, du 27 décembre 2019 au 14 janvier 2020, du 23 septembre 2020 au 24 décembre 2020, du 14 septembre 2022 au 16 janvier 2023, et du 31 mars au 30 juin 2023, soit 10 mois et 21 jours. La détention subie par le recourant depuis l’ordre de détention notifié le 31 mars 2023 par le SPOP dépasse donc le cadre de la durée de six mois autorisée par l’art. 79 al. 1 LEI. Toutefois, aux termes de l’art. 79 al. 2 let. a LEI, avec l’accord de l’autorité judiciaire cantonale, ce qui est le cas en l’espèce, cette durée peut être prolongée de 12 mois au plus lorsque la personne concernée ne coopère pas avec l’autorité compétente. Or, non seulement le recourant n’invoque pas que la durée de sa détention serait excessive au regard des délais susmentionnés mais, comme déjà relevé, il a de surcroît démontré qu’il n’entendait pas collaborer à son renvoi (cf. supra consid. 2.2). Le retard pris par la procédure d’éloignement est donc dû en premier lieu au comportement du recourant, de sorte qu’il peut être fait application de l’art. 79 al. 2 let. a LEI.</w:t>
      </w:r>
    </w:p>
    <w:p>
      <w:r>
        <w:rPr>
          <w:b/>
        </w:rPr>
        <w:t>E. 4</w:t>
      </w:r>
    </w:p>
    <w:p>
      <w:r>
        <w:t>Invoquant les art. 6 CEDH, 29, 30 et 31 Cst. et 28 LPA-VD, le recourant soutient que le premier juge ne pouvait pas statuer sur la demande de prolongation de la détention, sans avoir connaissance de la date précise du vol spécial, et que ce dernier aurait dû lui communiquer cette information afin de lui permettre de se déterminer sur ce point.</w:t>
      </w:r>
    </w:p>
    <w:p>
      <w:r>
        <w:rPr>
          <w:b/>
        </w:rPr>
        <w:t>E. 4.1</w:t>
      </w:r>
    </w:p>
    <w:p>
      <w:r>
        <w:t>Selon l’art. 30 al. 2 LVLEI, l’acte de recours est signé et sommairement motivé. Selon l’art. 79 al. 1 2 e phrase LPA-VD, l’acte de recours doit indiquer les conclusions et motifs du recours. Il n’y a pas lieu d’entrer en matière sur des griefs insuffisamment motivés : l’acte de recours doit préciser clairement en quoi et pour quel motifs l’acte attaqué viole le droit, sous peine d’irrecevabilité (AC.2009.0154 du 25 novembre 2009 ; Bovay et al., Procédure administrative vaudoise – LPA-VD, Bâle 2021, n. 2.5.1 ad art. 79 LPA-VD). La motivation du recours doit se rapporter à l'objet de la décision et au raisonnement juridique qui la soutient, sous peine d'irrecevabilité (AC.2011.0212 du 27 juillet 2012 ; Bovay et al., op. cit., n. 2.5.2 ad art. 79 LPA-VD). Le fait que la cour cantonale dispose d'un libre pouvoir d'examen en fait et en droit ne dispense pas le recourant de motiver ses griefs fondés sur l'art. 76 LPA-VD (TF 4A_481/2013 du 26 mars 2014 consid. 3.2.2).</w:t>
      </w:r>
    </w:p>
    <w:p>
      <w:r>
        <w:rPr>
          <w:b/>
        </w:rPr>
        <w:t>E. 4.2</w:t>
      </w:r>
    </w:p>
    <w:p>
      <w:r>
        <w:t>En l’espèce, le recourant reproche, d’une part, au SPOP de ne pas avoir communiqué au Tribunal des mesures de contrainte la date du vol spécial et, d’autre part, à celui-ci de ne pas avoir cherché à obtenir des précisions à ce sujet, mais n’expose pas en quoi la décision rendue par ce dernier serait erronée ou contraire au droit ou en quoi cette précision temporelle aurait dû conduire à sa libération. L’invocation d’une série de dispositions légales ne suffit à cet égard pas. Il s’ensuit que le recours ne satisfait pas aux exigences de motivation des art. 30 al. 2 LVLEI et 79 al. 1 2 e phr. LPA-VD, de sorte qu’il est irrecevable sur ce point. Au surplus, et comme on l’a vu (cf. supra consid. 3.2), il n’y pas lieu de douter des informations transmises par le SPOP selon lesquelles une date de départ a été fixée et qu’elle est connue des autorités administratives. Cette information temporelle, même imprécise, est suffisante pour considérer que l'exécution de l’expulsion et du renvoi semble possible dans un délai prévisible respectivement raisonnable avec une probabilité suffisante (TF 2C_468/2022 du 7 juillet 2022 consid. 4.2). Il n’est ainsi pas déterminant de connaître la date précise du renvoi, celle-ci devant être tenue secrète pour des motifs évidents de sécurité, puisqu’on peut déduire de la demande du SPOP que le renvoi doit intervenir de manière imminente et au plus tard d’ici au 31 août 2023, terme de la prolongation de la détention administrative. Au demeurant, le contrôle porte sur la période de détention et non sur la date de départ.</w:t>
      </w:r>
    </w:p>
    <w:p>
      <w:r>
        <w:rPr>
          <w:b/>
        </w:rPr>
        <w:t>E. 5</w:t>
      </w:r>
    </w:p>
    <w:p>
      <w:r>
        <w:t>En définitive, le recours doit être rejeté dans la mesure où il est recevable et l’ordonnance entreprise confirmée. S’agissant de l’indemnisation de Me Raphaël Brochellaz, conseil d’office du recourant, il sera retenu, au vu de l’acte déposé, qui reprend dans une large mesure les arguments déjà exposés lors du précédent recours, 2h00 heures d'activité nécessaire d’avocat au tarif horaire de 180 fr. (art. 18 al. 5 LPA-VD ; art. 2 al. 1 let. a et 3 al. 2 RAJ [règlement sur l'assistance judiciaire en matière civile du</w:t>
      </w:r>
    </w:p>
    <w:p>
      <w:r>
        <w:rPr>
          <w:b/>
        </w:rPr>
        <w:t>E. 7</w:t>
      </w:r>
    </w:p>
    <w:p>
      <w:r>
        <w:t>décembre 2010 ; BLV 211.02.3]), soit 360 francs. S'y ajoutent 2 % pour les débours (art. 3bis al. 1 RAJ), soit 7 fr. 20, et 7,7 % de TVA sur le tout, par 28 fr. 30, de sorte que l'indemnité d'office sera arrêtée au total à 396 fr. en chiffres arrondis. Le recourant sera tenu au remboursement de l’indemnité due à son conseil d’office, mise provisoirement à la charge de l’Etat, dès qu’il sera en mesure de le faire (art. 123 CPC par renvoi de l’art. 18 al. 5 LPA-VD). L’arrêt est rendu sans frais (art. 50 LPA-VD ; CREP 13 décembre 2021/1089 ; CREP 26 août 2020/649). Par ces motifs, la Chambre des recours pénale prononce : I. Le recours est rejeté dans la mesure où il est recevable. II. L’ordonnance du 28 juin 2023 est confirmée. III. L’indemnité allouée à Me Raphaël Brochellaz, conseil d’office de K.________, est arrêtée à 396 fr. (trois cent nonante-six francs). IV. K.________ sera tenu au remboursement de l’indemnité due à son conseil d’office, mise provisoirement à la charge de l’Etat, dès qu’il sera en mesure de le faire. V. L’arrêt est exécutoire. La présidente :               Le greffier : Du Le présent arrêt, dont la rédaction a été approuvée à huis clos, est notifié, par l'envoi d'une copie complète, à : - Me Raphaël Brochellaz, avocat (pour K.________), - Service de la population, et communiqué à : ‑ M. le Président du Tribunal des mesures de contrainte, - Centre de détention administrative de Zurich,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