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509 vom 7. Juli 2025</w:t>
      </w:r>
    </w:p>
    <w:p>
      <w:r>
        <w:t>VD Tribunal cantonal, 2025-07-07, FR</w:t>
      </w:r>
    </w:p>
    <w:p>
      <w:r>
        <w:rPr>
          <w:b/>
        </w:rPr>
        <w:t xml:space="preserve">Quelle: </w:t>
      </w:r>
      <w:r>
        <w:t>https://mcp.opencaselaw.ch/entscheid/vd_findinfo_509___________</w:t>
      </w:r>
    </w:p>
    <w:p>
      <w:r>
        <w:t>FR: VD_FINDINFO 509 du 7 juillet 2025</w:t>
      </w:r>
    </w:p>
    <w:p>
      <w:r>
        <w:t>IT: VD_FINDINFO 509 del 7 luglio 2025</w:t>
      </w:r>
    </w:p>
    <w:p>
      <w:pPr>
        <w:pStyle w:val="Heading2"/>
      </w:pPr>
      <w:r>
        <w:t>Regeste</w:t>
      </w:r>
    </w:p>
    <w:p>
      <w:r>
        <w:t>DÉTENTION PROVISOIRE, RISQUE DE FUITE, MESURE DE SUBSTITUTION À LA DÉTENTION, SÛRETÉS | 221 al. 1 let. a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plus, à juste titre, l’existence de soupçons suffisants de la commission d’un crime ou d’un délit. En revanche, il considère, dans un premier moyen, qu’il ne présente aucun risque de fuite. S’il reconnaît que son centre de vie se situe en France, il souligne néanmoins que deux de ses enfants résident toujours en Suisse et qu’il bénéficie, à leur égard, d’un droit de visite s’exerçant toutes les deux semaines, durant deux heures, au Point Rencontre. Il affirme vouloir exercer ce droit, ce qui l’obligerait, selon lui, à se rendre régulièrement à [...], garantissant ainsi sa disponibilité pour les besoins de l’instruction. Il fait par ailleurs valoir qu’il est revenu en Suisse voir ses enfants deux semaines après les faits qui lui sont reprochés. Enfin, il fait état d’une situation personnelle stable, se prévalant d’un contrat de travail à durée indéterminée et d’une vie commune à [...] avec la mère de son futur enfant.</w:t>
      </w:r>
    </w:p>
    <w:p>
      <w:r>
        <w:rPr>
          <w:b/>
        </w:rPr>
        <w:t>E. 3.1</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 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3.2</w:t>
      </w:r>
    </w:p>
    <w:p>
      <w:r>
        <w:t>En l’espèce, l’analyse du Tribunal des mesures de contrainte doit être confirmée. Le recourant, de nationalité française, est domicilié et exerce une activité professionnelle en France, où résident également sa compagne – qui serait enceinte de lui – ainsi que deux de ses enfants. Il est ainsi indéniable que son centre de vie se trouve en France, ce qu’il reconnaît d’ailleurs lui-même. En revanche, il ne présente aucune attache en Suisse, hormis deux enfants issus d’une relation antérieure, avec lesquels ses liens apparaissent, au vu du dossier, récents, ténus et strictement encadrés. Il ressort en effet de l’extrait – non daté – de la convention passée devant la Justice de paix que son droit de visite est limité à deux heures toutes les deux semaines, dans un cadre surveillé, au sein du Point Rencontre (cf. acte de recours, annexe 5). Par ailleurs, ce même document mentionne qu’un premier contact, par visioconférence, ne serait intervenu que le 11 décembre 2024, alors que les enfants sont nés en 2020 et 2021. Enfin, son complice présumé, S.________, a déclaré que, selon lui, le jours des faits reprochés, le recourant venait voir ses enfants pour la première fois, leur mère ayant quitté la France avec eux pour se réfugier en Suisse (PV d’audition n° 2, R. 7). Au vu de ces éléments, les liens familiaux que le recourant invoque apparaissent trop récents, limités et incertains pour atténuer de manière crédible tout risque de fuite. Le recourant soutient encore qu’il serait revenu en Suisse de son propre chef, deux semaines après les faits, ce qui témoignerait de sa volonté de ne pas se soustraire à la procédure. Cet argument ne saurait être retenu. Au moment de son retour, le recourant ignorait en effet qu’il avait été signalé, sous mandat d’arrêt, au Système de recherches informatisées de police (RIPOL), que son complice présumé avait lui-même été interpellé, que celui-ci avait admis les faits et qu’il l’avait mis en cause. A cela s’ajoute la gravité des faits reprochés, à savoir un brigandage qualifié commis au préjudice d’une prostituée, par deux individus, dont l’un aurait été armé d’un couteau. Ces faits exposent le recourant, en cas de condamnation, à une peine privative de liberté significative, ce qui renforce le risque qu’il tente de se soustraire à la procédure, notamment en retournant puis en demeurant en France, pays qui n’extrade pas ses ressortissants. Ainsi, au vu de l’ensemble de ces éléments, il apparaît avec une probabilité suffisante que le recourant, s’il était remis en liberté, regagnerait immédiatement la France, ce qu’il admet, sans chercher à revenir en Suisse, sauf à le faire dans la clandestinité. Le maintien en détention provisoire en raison du risque de fuite doit dès lors être confirmé.</w:t>
      </w:r>
    </w:p>
    <w:p>
      <w:r>
        <w:rPr>
          <w:b/>
        </w:rPr>
        <w:t>E. 4</w:t>
      </w:r>
    </w:p>
    <w:p>
      <w:r>
        <w:t>Le recourant conteste les risques de collusion et de réitération qualifié, étant relevé que le second n’a pas été retenu par le premier juge. Cela étant, il n’est pas nécessaire d’examiner ces griefs. Les conditions de la détention provisoire sont en effet alternatives, de sorte que l'existence d'un seul motif au sens de l'art. 221 al. 1 CPP – en l’occurrence, le risque de fuite – est suffisant pour confirmer la détention provisoire ordonnée à l'encontre du recourant (TF 1B_134/2023 du 5 avril 2023 consid. 4.4 ; TF 1B_192/2022 du 12 mai 2022 consid. 4.1.2).</w:t>
      </w:r>
    </w:p>
    <w:p>
      <w:r>
        <w:rPr>
          <w:b/>
        </w:rPr>
        <w:t>E. 5</w:t>
      </w:r>
    </w:p>
    <w:p>
      <w:r>
        <w:t>A titre subsidiaire, le recourant reproche au Tribunal des mesures de contrainte d’avoir estimé qu’une obligation de conserver un emploi et de se présenter régulièrement à un poste de police ne dépendrait que de sa seule volonté et ne suffirait dès lors pas à pallier le risque de fuite. Il indique également être disposé à verser, à titre de sûretés, un montant mensuel de 1'000 euros à prélever sur son salaire de 1'700 euros. Il considère enfin qu’une interdiction de contact serait de nature à prévenir tout risque de collusion.</w:t>
      </w:r>
    </w:p>
    <w:p>
      <w:r>
        <w:rPr>
          <w:b/>
        </w:rPr>
        <w:t>E. 5.1</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 TF 7B_375/2025 du 9 mai 2025 consid. 7.3 ; TF 7B_618/2024 du 25 juin 2024 consid. 3.4.2 ; TF 7B_1011/2023 du 11 janvier 2024 consid. 5.3 et les références citées).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références citées).</w:t>
      </w:r>
    </w:p>
    <w:p>
      <w:r>
        <w:rPr>
          <w:b/>
        </w:rPr>
        <w:t>E. 5.2</w:t>
      </w:r>
    </w:p>
    <w:p>
      <w:r>
        <w:t>En l’espèce, les mesures de substitution proposées par le recourant ne permettent pas de pallier le risque élevé de fuite qu’il présente, étant rappelé que, selon ses propres déclarations, il entendrait regagner la France dès sa remise en liberté. Il est dès lors difficilement concevable que des obligations telles que celle de conserver un emploi à [...] (cf. acte de recours, annexe 6) ou de se présenter régulièrement à un poste de police en Suisse puissent garantir sa disponibilité pour les besoins de la procédure. En effet, ces mesures, qui, au demeurant, ne reposeraient que sur sa seule volonté de s’y conformer, apparaissent d’autant plus inefficaces que le recourant réside à l’étranger. Il en va de même de celle tendant à la fourniture de sûretés. A suivre l’argumentation du recourant, celles-ci consisteraient en un versement mensuel de 1'000 euros qu’il prélèverait lui-même, en France, sur son salaire de 1'700 euros. Une telle modalité, dont l’exécution dépendrait uniquement de son bon vouloir, ne présente aucune garantie. Par ailleurs, au regard des ressources financières limitées du recourant et du fait qu’il aurait plusieurs enfants à charge, sa proposition de procéder à de tels versements mensuels n’apparaît tout simplement pas réaliste. De plus, quand bien même il serait en mesure de fournir immédiatement un montant unique de 1'000 euros, on ne dispose d’aucune information quant à son origine. Un tel montant serait, dans tous les cas, manifestement insuffisant pour le dissuader de se soustraire à la procédure au regard de la gravité des faits et de la peine privative de liberté qui pourrait être prononcée à son encontre. Enfin, le recourant évoque une interdiction de contact et de périmètre comme mesure susceptible de prévenir un risque de collusion. Cette proposition est toutefois inopérante dans la présente analyse, qui porte exclusivement sur le risque de fuite, et le recourant n’indique pas en quoi une telle interdiction serait propre à pallier celui-ci. Ainsi, aucune des mesures de substitution envisagées ne permet de prévenir le risque de fuite.</w:t>
      </w:r>
    </w:p>
    <w:p>
      <w:r>
        <w:rPr>
          <w:b/>
        </w:rPr>
        <w:t>E. 6</w:t>
      </w:r>
    </w:p>
    <w:p>
      <w:r>
        <w:t>En définitive, le recours, manifestement mal fondé, doit être rejeté, sans échange d’écritures (art. 390 al. 2 CPP), et l’ordonnance entreprise confirmée. Compte tenu de la nature de l’affaire et de l’acte de recours, dont le contenu est quasiment identique à celui des déterminations qu’il a adressée au Tribunal des mesures de contrainte, l’indemnité allouée à Me Florian Monnier, défenseur d’office de B.________,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1’210 fr. (art. 20 al. 1 TFIP), et des frais imputables à la défense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23 juin 2025 est confirmée. III. L’indemnité allouée à Me Florian Monnier, défenseur d’office de B.________, est fixée à 596 fr. (cinq cent nonante-six francs). IV. Les frais d’arrêt, par 1'210 fr. (mille deux cent dix francs), ainsi que l'indemnité allouée à Me Florian Monnier, par 596 fr. (cinq cent nonante-six francs), sont mis à la charge de B.________. V. Le remboursement à l’Etat de l’indemnité allouée au chiffre III ci-dessus ne sera exigible que pour autant que la situation financière de B.________ le permette. VI. L’arrêt est exécutoire. La vice-présidente : Le greffier : Du Le présent arrêt, dont la rédaction a été approuvée à huis clos, est notifié, par l'envoi d'une copie complète, à : - Me Florian Monnier, avocat (pour B.________), - Ministère public central, et communiqué à : ‑ M. le Président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