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506 vom 23. Juni 2023</w:t>
      </w:r>
    </w:p>
    <w:p>
      <w:r>
        <w:t>VD Tribunal cantonal, 2023-06-23, FR</w:t>
      </w:r>
    </w:p>
    <w:p>
      <w:r>
        <w:rPr>
          <w:b/>
        </w:rPr>
        <w:t xml:space="preserve">Quelle: </w:t>
      </w:r>
      <w:r>
        <w:t>https://mcp.opencaselaw.ch/entscheid/vd_findinfo_506___________</w:t>
      </w:r>
    </w:p>
    <w:p>
      <w:r>
        <w:t>FR: VD_FINDINFO 506 du 23 juin 2023</w:t>
      </w:r>
    </w:p>
    <w:p>
      <w:r>
        <w:t>IT: VD_FINDINFO 506 del 23 giugno 2023</w:t>
      </w:r>
    </w:p>
    <w:p>
      <w:pPr>
        <w:pStyle w:val="Heading2"/>
      </w:pPr>
      <w:r>
        <w:t>Regeste</w:t>
      </w:r>
    </w:p>
    <w:p>
      <w:r>
        <w:t>ORDONNANCE DE NON-ENTRÉE EN MATIÈRE, OPPORTUNITÉ, REJET DE LA DEMANDE | 14 CP, 310 CPP (CH), 8 al. 2 let. b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interjeté en temps utile, dans les formes prescrites (art. 385 al. 1 CPP), auprès de l’autorité compétente, par la partie plaignante qui a qualité pour recourir (art. 382 al. 1 CPP), le recours est recevable.</w:t>
      </w:r>
    </w:p>
    <w:p>
      <w:r>
        <w:rPr>
          <w:b/>
        </w:rPr>
        <w:t>E. 2.1</w:t>
      </w:r>
    </w:p>
    <w:p>
      <w:r>
        <w:t>Le recourant conteste en premier lieu la qualification d’empêchement à procéder, au sens de l’art. 310 al. 1 let. b CPP, du fait que le prévenu pourrait seulement être condamné à une peine de quotité nulle. Il invoque que le Tribunal fédéral n’a jamais considéré que le prononcé d’une peine de quotité nulle était formellement impossible et qu’il existe un intérêt public et un intérêt privé de la partie plaignante à voir le prévenu être condamné. Dans un second grief, le recourant invoque que les propos tenus par U.________ pourraient être constitutifs de calomnie, et non uniquement de diffamation, et que cette question devait en tous les cas être instruite.</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En vertu de l'art. 8 al. 2 let. b CPP, auquel renvoie l'art. 310 al. 1 let. c CPP, le Ministère public renonce à engager une poursuite pénale si aucun intérêt prépondérant de la partie plaignante ne s'y oppose et que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(Message du Conseil fédéral relatif à l'unification du droit de la procédure pénale du 21 décembre 2005, FF 2006 pp. 1057 ss, spéc.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et les références citées ; CREP 25 mars 2019/230 consid. 6.2).</w:t>
      </w:r>
    </w:p>
    <w:p>
      <w:r>
        <w:rPr>
          <w:b/>
        </w:rPr>
        <w:t>E. 2.2.3.1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selon l’art. 173 ch. 2 CP, s’il prouve que les allégations qu’il a articulées ou propagées sont conformes à la vérité (preuve de la vérité) ou qu’il avait des raisons sérieuses de les tenir de bonne foi pour vraies (preuve de la bonne foi).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Petit Commentaire du Code pénal, 2 e éd., Bâle 2017, n. 38 ad art. 173 CP). L’auteur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 ATF 137 IV 313 consid. 2.4.4 p. 321 ; ATF 132 IV 112 consid. 3.1 p. 116).</w:t>
      </w:r>
    </w:p>
    <w:p>
      <w:r>
        <w:rPr>
          <w:b/>
        </w:rPr>
        <w:t>E. 2.2.3.2</w:t>
      </w:r>
    </w:p>
    <w:p>
      <w:r>
        <w:t>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2.2.3.3</w:t>
      </w:r>
    </w:p>
    <w:p>
      <w:r>
        <w:t>Tant la diffamation que la calomnie sont des infractions intentionnelles (Corboz, Les infractions en droit suisse, 3 e éd., vol. I, Berne 2010, n. 48 ad art. 173 CP et n. 11 ad art. 174 CP). La calomnie est une forme qualifiée de diffamation, qui implique, sur le plan subjectif,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TF 6B_458/2022 du 3 mars 2022 consid. 3.1)</w:t>
      </w:r>
    </w:p>
    <w:p>
      <w:r>
        <w:rPr>
          <w:b/>
        </w:rPr>
        <w:t>E. 2.2.3.4</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131 IV 154 consid. 1.3.1 ; TF 6B_475/2020 du 31 août 2020 consid. 2.2.2).</w:t>
      </w:r>
    </w:p>
    <w:p>
      <w:r>
        <w:rPr>
          <w:b/>
        </w:rPr>
        <w:t>E. 2.3.1</w:t>
      </w:r>
    </w:p>
    <w:p>
      <w:r>
        <w:t>En l’espèce, l’ordonnance pénale du 4 août 2022 ayant reconnu U.________ coupable de diffamation, le courrier de ce dernier du 17 octobre 2022, venant compléter son opposition à cette même ordonnance, doit être considéré comme étant une tentative de sa part d’apporter la preuve libératoire de la vérité, au sens de l’art. 173 ch. 2 CP. Les allégations contenues dans ce courrier ne sont ainsi pas de nouvelles accusations portées à l’encontre du recourant, mais les explications fournies par le prévenu pour tenter de démontrer pour quelles raisons les griefs dont il faisait état dans son courrier du 10 février 2020 étaient, selon lui, conformes à la vérité. Sur la base de l’art. 14 CP, le prévenu doit avoir la possibilité de tenter d’apporter cette preuve libératoire et, dans cette mesure, il est en droit d’affirmer que les allégations qui ont été considérées comme diffamatoires sont vraies, sans risquer de faire l’objet d’une nouvelle plainte pénale. S’agissant du second grief du recourant, conformément à la jurisprudence citée au considérant 2.2.2.3, pour que des allégations puissent être qualifiées de calomnieuses il est nécessaire que leur auteur ait su que celles-ci étaient fausses. En l’occurrence, la résolution du prévenu à répéter les mêmes accusations à l’encontre du recourant dans ses courriers du 10 février 2020 et du 17 octobre 2022 ainsi que lors de l’audience du 10 janvier 2023, permet d’en inférer qu’il les tient pour vraies. Le dol éventuel n’étant pas suffisant pour retenir que le prévenu avait connaissance de la fausseté de ses allégations, les conditions d’application de l’art. 174 ch. 1 CP ne sont manifestement pas remplies. Il convient ainsi, en procédant par substitution de motifs, de retenir que le Ministère public était légitimé à rendre une ordonnance de non-entrée en matière sur la base de l’art. 310 al. 1 let. a CPP.</w:t>
      </w:r>
    </w:p>
    <w:p>
      <w:r>
        <w:rPr>
          <w:b/>
        </w:rPr>
        <w:t>E. 2.3.2</w:t>
      </w:r>
    </w:p>
    <w:p>
      <w:r>
        <w:t>Au vu de ce qui précède, il n’est théoriquement pas nécessaire d’examiner si la non-entrée en matière se justifie pour un autre motif. En l’occurrence, toutefois, le raisonnement fait par le Ministère public est correct, sous réserve qu’il ne s’agit pas de l’application de l’art. 310 al. 1 let. b CPP, mais de celle de l’art. 310 al. 1 let. c CPP, lequel renvoie à l’art. 8 al. 2 let. b CPP qui prévoit la possibilité de classer une procédure lorsque la peine qui devrait être prononcée en complément d’une peine entrée en force serait vraisemblablement insignifiante. En effet, le courrier à la base de la présente procédure datant du 17 octobre 2022 et le jugement du Tribunal de police du 10 janvier 2023, si U.________ devait faire l’objet d’une nouvelle condamnation, la peine complémentaire qui serait prononcée ne devrait pas avoir pour effet qu’il soit puni plus sévèrement que si les infractions avaient fait l’objet d’un seul jugement (cf. art. 49 al. 2 CP). En l’occurrence, la peine qui a été prononcée dans le jugement du 10 janvier 2023 correspond à la peine maximale pour la diffamation ainsi qu’au maximum légal pour les peines pécuniaires (cf. art. 173 ch. 1, 34 al. 1 et 49 al. 1 in fine CP). Ainsi, si une peine complémentaire devait être prononcée dans le cadre de la présente procédure, celle-ci devrait être nulle et donc insignifiante au sens de l’art. 8 al. 2 let. b CPP. Le recourant conteste le résultat du raisonnement du Ministère public en considérant – ce qui est exact – qu’une peine d’une quotité nulle peut théoriquement être infligée (cf. ATF 145 IV 449 consid. 1.7), mais il n’essaie pas de démontrer en quoi les conditions posées par l’art. 8 al. 2 let. c CPP ne seraient pas remplies dans le cas concret. En particulier, il n’expose pas précisément quel intérêt prépondérant s’opposerait à la renonciation à la poursuite, eu égard notamment au fait que les conclusions civiles qu’il a formulées le 10 janvier 2023, et qui ont été entièrement admises dans le jugement du même jour, n’auraient pas couvert l’ensemble des prétentions qu’il pouvait faire valoir à cette date.</w:t>
      </w:r>
    </w:p>
    <w:p>
      <w:r>
        <w:rPr>
          <w:b/>
        </w:rPr>
        <w:t>E. 3</w:t>
      </w:r>
    </w:p>
    <w:p>
      <w:r>
        <w:t>Au vu de ce qui précède, le recours, manifestement mal fondé, doit être rejeté sans échange d’écritures (art. 390 al. 2 CPP) et l’ordonnance entreprise confirmée. Les frais de la procédure de recours, constitué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23 février 2023 est confirmée. III. Les frais d’arrêt, par 990 fr. (neuf cent nonante francs), sont à la charge de F.________. IV. L’arrêt est exécutoire. La présidente :               Le greffier : Du Le présent arrêt, dont la rédaction a été approuvée à huis clos, est notifié, par l'envoi d'une copie complète, à : - Me Laurent Fischer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