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4/2015/SNR vom 23. Januar 2015</w:t>
      </w:r>
    </w:p>
    <w:p>
      <w:r>
        <w:t>VD Tribunal cantonal, 2015-01-23, FR</w:t>
      </w:r>
    </w:p>
    <w:p>
      <w:r>
        <w:rPr>
          <w:b/>
        </w:rPr>
        <w:t xml:space="preserve">Quelle: </w:t>
      </w:r>
      <w:r>
        <w:t>https://mcp.opencaselaw.ch/entscheid/vd_findinfo_4_2015_SNR</w:t>
      </w:r>
    </w:p>
    <w:p>
      <w:r>
        <w:t>FR: VD_FINDINFO 4/2015/SNR du 23 janvier 2015</w:t>
      </w:r>
    </w:p>
    <w:p>
      <w:r>
        <w:t>IT: VD_FINDINFO 4/2015/SNR del 23 gennaio 2015</w:t>
      </w:r>
    </w:p>
    <w:p>
      <w:pPr>
        <w:pStyle w:val="Heading2"/>
      </w:pPr>
      <w:r>
        <w:t>Regeste</w:t>
      </w:r>
    </w:p>
    <w:p>
      <w:r>
        <w:t>RESPONSABILITÉ CAUSALE, TRAUMATISME CERVICAL, PRESCRIPTION, PERTE DE GAIN, INCAPACITÉ DE TRAVAIL | 41 CO, 45 CO, 46 CO, 47 CO, 60 al. 2 CO, 255a CPC, 3 CPC, 58 LCR, 61 LCR, 62 LCR, 65 LCR, 83 al. 1 LCR</w:t>
      </w:r>
    </w:p>
    <w:p>
      <w:pPr>
        <w:pStyle w:val="Heading2"/>
      </w:pPr>
      <w:r>
        <w:t>Erwägungen</w:t>
      </w:r>
    </w:p>
    <w:p>
      <w:r>
        <w:rPr>
          <w:b/>
        </w:rPr>
        <w:t>E. 4</w:t>
      </w:r>
    </w:p>
    <w:p>
      <w:r>
        <w:t>e éd. 2015, ch. 4, pp. 859 à 861 et les références citées). Le délai pénal plus long s'applique aussi à l'action contre l'assureur RC (ATF 137 III 481 c. 2.3; ATF 125 III 339 c. 3d). Le juge civil tranche préjudiciellement la question de la punissabilité. Il est lié, cependant, par une décision pénale portant condamnation ou acquittement (ATF 137 III 481 c. 2.4; ATF 136 III 502 c. 6.1; Bussy et alii, loc. cit.). c) En l’espèce, il ressort de l’état de fait que la conductrice impliquée dans l’accident du 28 juillet 2003 a été condamnée pour lésions corporelles simples par négligence par jugement du Tribunal de police de [...] du 11 juillet 2006. L’ acte punissable était à l'époque soumis par le CP (Code pénal suisse du 21 décembre 1937 ; RS 311.0) à une prescription de sept ans (art. 97 al. 1 let. c aCP et 125 al. 1 CP); cette prescription s'applique à l'action civile; le délai de sept ans, qui a commencé à courir le 28 juillet 2003, jour de l'accident, est arrivé à échéance le 28 juillet 2010. La prescription n’était dès lors pas acquise lorsque le demandeur a ouvert action à l’encontre de la défenderesse par demande du 6 février 2009 . V. a) La responsabilité du détenteur d'un véhicule automobile est régie par les art. 58 ss LCR, les règles générales des art. 41 ss CO n'étant applicables que dans la mesure où cette loi le prévoit expressément (Werro, La responsabilité civile, 2ème éd. 2011 (ci-après: Werro, RC), n. 843; Brehm, La responsabilité civile automobile, 2ème éd. 2010 (ci-après: Brehm, RC), n. 8). L'art. 61 al. 1 LCR dispose que lorsqu’un détenteur est victime de lésions corporelles dans un accident où sont impliqués plusieurs véhicules automobiles, le dommage est supporté par les détenteurs de tous les véhicules automobiles impliqués, en proportion de leur faute, à moins que des circonstances spéciales, notamment les risques inhérents à l’emploi du véhicule, ne justifient un autre mode de répartition. En vertu de l'art. 65 al. 1 LCR, le lésé peut intenter une action directe contre l'assureur, dans la limite des montants prévue par le contrat d'assurance (art. 65 al. 1 LCR). A cet égard, les exceptions découlant du contrat d'assurance ou de la loi fédérale sur le contrat d'assurance (LCA; RS 221.229.1) ne peuvent pas être opposées au lésé (art. 65 al. 2 LCR). Selon l'art. 58 al. 1 LCR, si, par suite de l'emploi d'un véhicule automobile, une personne est tuée ou blessée ou qu'un dommage matériel est causé, le détenteur est civilement responsable. Par cette disposition, la loi instaure une responsabilité causale, qui tend à protéger les lésés contre les risques spécifiques liés à l'emploi des véhicules à moteur, en raison de leur masse et de leur vitesse (ATF 111 II 89 c. 1a, rés. in JT 1985 I 413). Cette responsabilité objective aggravée déroge au principe de la responsabilité de l'art. 41 CO, en ce sens qu'elle est engagée même sans faute ni manque de diligence de l'utilisateur du véhicule (Werro, RC, op. cit., n. 845; Brehm, RC, op. cit., nn. 4 et 14).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 846; Bussy et alii, op. cit., ch. 1.1 et 1.2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(ATF 106 II 75 c. 2; Rey, Ausservertragliches Haftpflichtrecht, n. 1272; Werro, RC, op. cit., n. 849; Brehm, RC, op. cit., n. 16; Bussy et alii, op. cit., pp. 682 ss). Par lésion corporelle, il faut entendre toute atteinte à l'intégrité physique (paralysie, amputation, affections musculaires, etc.) ou à la santé mentale (névrose, perte de mémoire, affaiblissement intellectuel, etc.) de la victime (art. 46 CO; TF 2C.2/2000 du 4 avril 2003 c. 3; Brehm, La réparation du dommage corporel en responsabilité civile, (ci-après: Brehm, Dommage corporel), n. 410). Concernant la condition du lien de causalité, la responsabilité du détenteur d'un véhicule est engagée, en vertu de l'art. 58 al. 1 LCR, du seul fait que l'emploi du véhicule est en relation de causalité avec le dommage, ce lien devant être naturel et adéquat (ATF 95 II 344 c. 6; Werro, RC, op. cit., n. 854; Brehm, RC, op. cit., n. 19).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 4.4.2 et les arrêts cités; Werro, RC, op. cit., nn. 191 ss; Bussy et alii, op. cit., ch. 9.2 ad art. 58 LCR).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ATF 133 III 81 c. 4.2.2 et les références citées; Werro, RC, op. cit., n. 229).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129 II 312 c. 3.3; ATF 123 III 110 c. 3a, JT 1997 I 791 et les références citées; ATF 119 Ib 334 c. 5).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234).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Il n'y aura rupture du lien de causalité adéquate, l’enchaînement des faits perdant alors sa portée juridique, que si une autre cause concomitante, par exemple le comportement de la victime, le fait d’un tiers ou la force majeure,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Selon les circonstances, il peut alors y avoir influence sur le calcul du dommage (art. 42 CO) ou le montant des dommages-intérêts (art. 43 et 44 CO) (TF 4C.415/2006 du 11 septembre 2007 c. 3.2; ATF 123 III 110 c. 3c, JT 1997 I 791; Rey, op. cit., nn. 605, 606, 607b et 607c). S'agissant d'un accident de type "coup du lapin", il existe un lien de causalité naturelle à trois conditions: premièrement, il faut qu'un traumatisme de type "coup du lapin" soit diagnostiqué; deuxièmement, il faut qu'apparaisse le tableau clinique caractéristique, soit des plaintes multiples, des maux de tête diffus, des vertiges, des troubles de la concentration et de la mémoire, des nausées, une fatigabilité accrue, des troubles de la vue, une irritabilité, une altération de la sensibilité, une dépression et une modification de la personnalité, etc; troisièmement, le mécanisme accidentel doit être propre à provoquer de tels troubles (Duc, Accident de type «coup du lapin» et causalité en responsabilité civile, in HAVE/REAS 1/2009, p. 87). Concernant le rapport de causalité adéquate, le Tribunal fédéral considère qu’en matière de traumatisme d’accélération cranio-cervical, la gravité de l’accident n’est pas en soi un critère pertinent pour déterminer s’il y a ou non un tel rapport de causalité entre l’accident et l’atteinte persistante à la santé (Guyaz, La causalité en matière de lésions cervicales non objectivables : les enjeux pour la victime, in Les causes du dommage, Journée de la responsabilité civile 2006, p. 114 et les références jurisprudentielles citées). A fortiori, on ne saurait nier d’emblée un lien de causalité uniquement parce que la violence du choc se situe en dessous d’une certaine limite. Dans le cas de troubles d’ordre psychiatrique apparaissant à la suite d’un accident éventuellement plusieurs mois après celui-ci, le Tribunal fédéral a considéré qu’un lien de causalité doit être encore admis sauf s’il s’avère que l’accident ne constitue que le motif extérieur des troubles, mais qu’au surplus, ces derniers ont pour origine un défaut de volonté de la victime. La solution est inverse, et le lien de causalité adéquate réalisé, si le lésé devient invalide parce que l’accident a, en troublant son jugement et en paralysant sa volonté, créé un état dont il ne peut pas se libérer (Guyaz, op. cit., p. 115 et les références jurisprudentielles citées). Toutefois, dans les cas où il paraît inéquitable de mettre à la charge du responsable la totalité du préjudice, une réduction de l’indemnité sur la base de l’art. 44 al. 1 et 43 al. 1 CO pourra entrer en considération. La jurisprudence et la doctrine ont envisagé pour l’instant trois hypothèses justifiant une réduction des dommages-intérêts : une disproportion manifeste entre la cause fondant le dommage et l’importance du préjudice – c’est dans ce cas que le juge, en cas de syndrome post-traumatique de distorsion cervicale, peut tenir compte de la faible influence d’une cause de l’accident entrant en concours avec d’autres causes (1) ; la faute légère du responsable (2) ; une exposition particulière du lésé lorsqu’elle lui est imputable (3) (ATF 123 III 110, 115; Guyaz, op. cit., pp. 117 ss et les références jurisprudentielles citées). Dans la première des hypothèses précitée, la jurisprudence a développé le concept de "causalité adéquate de faible intensité"; dans un tel cas, elle a confirmé, à la suite de la doctrine, qu'une réduction de l'indemnité peut entrer en ligne de compte (ATF 123 III 110 c. 3c p. 115; Brehm, Commentaire bernois, Berne 1990, nn. 53 et 54 ad art. 43 CO, p. 139; Oftinger/Stark, Schweizerisches Haftpflichtrecht, Allgemeiner Teil, t. I, 5ème éd., Zurich 1995, nn. 24 ss, pp. 116 ss; Von Tuhr/Peter, Allgemeiner Teil des schweizerischen Obligationenrecht, t. I, 3ème éd., Zurich 1979, pp. 98 ss). La mesure de la réduction sera fonction du caractère plus ou moins étroit dudit lien de causalité adéquate (ATF 61 II 85, 90; ATF 60 II 416, 420 ss; ATF 57 II 36, 46 ss; Brehm, Commentaire bernois, n. 53 ad art. 43 CO, p. 139). La question de savoir si un préjudice peut et doit encore, du point de vue de l'équité, être imputé dans de tels cas à la personne civilement responsable relève du pouvoir d'appréciation du juge (art. 4 CC), et se détermine sur la base de toutes les circonstances (ATF 123 III 110 c. 3a et les références citées; Gauch/Schluep, Schweizerisches Obligationenrecht, Allgemeiner Teil, t. II, 10ème éd., Zurich 2014, n. 2949, p. 172 et les références citées). b) En l'espèce, le demandeur a été victime, le 28 juillet 2003, d'un accident de la circulation. L’expert technique a défini que la variation de vitesse subie par le véhicule du demandeur était comprise entre 5,5 km/h et 9,5 km/h, que la limite supérieure de la zone d’innocuité est de 10 km/h pour un choc par l’arrière dans le cas d’une personne saine d’âge moyen, que la position du demandeur l’empêchait de voir les véhicules arrivant depuis derrière et qu’au vu des déformations relevées sur le véhicule du demandeur, le choc a été faible à modéré. L’absence d’informations concernant le véhicule Nissan, hormis qu’il n’a pas nécessité de réparation autre que celle portant sur la boîte à vitesses et l’embrayage, donne également à penser que le choc a été relativement faible. Le demandeur, qui n’a pas subi de perte de connaissance, a repris son véhicule et est allé déposer plainte immédiatement auprès de la police. Le rapport de police mentionne qu’il a ressenti des douleurs cervicales du côté droit, mais qu’il n’a pas désiré consulter un médecin sur le moment. Dans la déclaration d’accident établie un mois plus tard, le demandeur mentionne les blessures suivantes : cervicales, coup du lapin, entorse cervicale, vertiges et acouphènes. c) aa) Les experts judiciaires médicaux, quant à eux, ont constaté que, sur le plan rhumatologique, les altérations dégénératives discovertébrales n’étaient pas en lien de causalité avec l'accident, que sur le plan strictement neurologique, si les troubles apparus dans les suites immédiates de l'événement accidentel ont été en relation de causalité naturelle probable avec l'accident pour une période de deux à trois mois au maximum, l'évolution ultérieure de la symptomatologie, de même que sa répercussion sur la capacité de travail, ne trouvait pas d'explication dans les conséquences somatiques de l'événement accidentel et que, par conséquent, en l'absence d'une relation durable entre les troubles actuels et l'accident, il n'y avait pas lieu de retenir tant une perte d'intégrité qu'une incapacité de travail en tant que conséquence de cet événement. L'expertise judiciaire contient les conclusions suivantes, sur les plans physiques et somatiques (cf. p. 27): « On relèvera en outre que l'analyse biomécanique a révélé un Delta V incompatible avec l'apparition des troubles dont M. A.W.________ s'est plaint par la suite. La symptomatologie dont M. A.W.________ s'est plaint à partir de la nuit qui a suivi le traumatisme est qualitativement compatible avec un syndrome post-distorsion cervicale mais il existe une discordance évidente entre l'importance des troubles et leur répercussion sur l'activité personnelle et professionnelle de M. A.W.________ d'une part et le caractère objectivement extrêmement discret de l'événement accidentel d'autre part permettant d'affirmer que, plusieurs années après l'événement accidentel, la persistance et l'importance des troubles actuels ne peuvent être mis en relation de causalité même possible avec l'événement accidentel du 28.07.2003. (…) (…) Toujours du point de vue somatique, en l'absence d'une relation de causalité même possible entre les troubles actuels et l'événement accidentel du 28.07.2003, il convient également de nier toute perte à l'intégrité et incapacité de travail/invalidité économique en tant que conséquence de l'accident du 28.07.2003. » Les experts répondent donc comme suit aux allégués suivants: Au vu de ce qui précède, la cour retient en fait qu'il n'y a pas – hormis sur une période de deux à trois mois après l'accident – de lien de causalité naturelle entre l'événement du 28 juillet 2003 et tous les troubles physiques dont se plaint le demandeur. bb) Sur le plan psychiatrique, toutefois, les experts relèvent que les éléments anamnestiques et cliniques permettent de retenir le diagnostic de modification durable de la personnalité après exposition à un facteur de stress prolongé. Les facteurs de stress sont constitués tant par l'accident lui-même que par les séquelles immédiates et différées de celui-ci (acouphène, vertiges, douleurs et problèmes neuropsychologiques). Le lien de causalité naturelle entre la souffrance psychique actuelle du demandeur et l'accident est hautement vraisemblable, comme cela a également été observé dans les expertises psychiatriques effectuées par les Drs Lehmann et Navarro, ainsi que dans un rapport fourni par le psychiatre traitant Dr Lepoivre. Les experts médicaux s'éloignent des conclusions de l'expertise réalisée par la Dresse Lomier-Viret, estimant notamment que l'on ne peut évoquer chez le demandeur des troubles de la personnalité préexistants, rien dans son anamnèse et sa trajectoire existentielle ne permettant de postuler de tels troubles chez le demandeur qui a mené jusqu’à l’accident une vie professionnelle et affective stable, hormis un divorce qui n’a cependant pas rompu les liens avec l’ex-épouse et les enfants. Ils sont ainsi d’avis que le demandeur souffre actuellement d’une pathologie psychiatrique sévère et que celle-ci est en lien de causalité naturelle avec l’accident, cela avec un haut degré de vraisemblance. Il apparaît dès lors que l'expertise privée de la Dresse Lomier-Viret commandée par la défenderesse et l'expertise judiciaire ordonnée dans le cadre de la présente procédure expriment des points de vue divergents quant au lien de causalité entre l'accident et les troubles psychiques actuels du demandeur. Il est admis que des questions d’ordre technique puissent être résolues par titre, notamment au moyen de rapports privés d’expertise. Aucune disposition du CPC-VD ne permet de s’opposer à la preuve littérale comme telle. Ainsi, des pièces n’ayant pas valeur d’expertise peuvent résoudre des questions dont l’aspect technique est prédominant (JT 1962 III 29; Poudret/Haldy/Tappy, Procédure civile vaudoise, 2002, n. 4 ad art. 177 CPC-VD et ad art. 214 CPC). Une expertise privée ne vaut pas preuve, mais "simple allégation d'une partie" (ATF 132 III 83 c. 3.4, SJ 2006 I 233). Cela ne signifie pas qu'elle soit sans valeur. Elle peut notamment amener la cour à s'écarter de l'expertise judiciaire en faisant apparaître les conclusions de cette dernière comme douteuses ou contradictoires. En revanche, l'expertise judiciaire l'emporte sur ces pièces, puisque le juge ne peut s'écarter du résultat d'une expertise judiciaire sans motifs déterminants (Bosshard, L’appréciation de l’expertise judiciaire par le juge, in RSPC 3/2007,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En l'espèce, l'expertise judiciaire doit l'emporter sur la pièce qu'est l'expertise privée, ne serait-ce que parce qu'elle a été réalisée de manière contradictoire et que ses auteurs ont eu à disposition l'ensemble des éléments du dossier. En outre, l'expertise judiciaire prend en compte l'avis de la Dresse Lomier-Viret et expose les raisons pour lesquelles elle s'en écarte. Au vu de ce qui précède, la cour retient en fait qu'il existe un lien de causalité naturelle entre l'événement du 28 juillet 2003 et les troubles psychiques présentés par le demandeur. Plus délicate est la question de la causalité adéquate. En effet, est-il possible de dire que la pathologie psychiatrique dont souffre le demandeur, que l’expertise judiciaire qualifie de sévère, est une conséquence de l’accident qui, selon le cours ordinaire des choses et l’expérience générale de la vie humaine, demeure dans le champ raisonnable des possibilités objectivement prévisibles ? i) Les experts judiciaires (rapport, pp. 22 et 23) ont relevé que, sur les plans physique et somatique, le demandeur se plaignait actuellement de cervicalgies pratiquement constantes se compliquant de céphalgies quotidiennes et de brachialgies droites irradiant jusqu’au niveau des doigts, d’acouphènes constants au niveau de l’oreille aggravés par le stress, des troubles de l’équilibre surtout en situation confinée, avec l’impression que le plafond allait s’abattre sur le sujet, des troubles de la mémoire et de la concentration, des lombalgies en barre se compliquant de douleurs du membre inférieur droit avec une insensibilité du membre inférieur et un manque de force des membres inférieurs. Les experts ont estimé en substance que ces troubles avaient une composante psychologique et n’étaient pour l’essentiel pas objectivables. S’agissant en particulier de l’acouphène, ils ont estimé qu’il n’y avait aucune atteinte organique post-traumatique, l’audition du patient ne présentant pas de dysfonction rétro-cochléaire ; l’acouphène chronique présenté par le demandeur est donc qualifié par les experts de « subjectif » (rapport, p. 33). Quant aux troubles de l’équilibre et aux vertiges, les experts ont constaté l’absence de signes d’une atteinte vestibulaire permettant d’expliquer les symptômes, les examens réalisés étant normaux ; les experts en déduisent que ce trouble n’avait pas de substrat organique et était corrélé avec des facteurs psychologiques. Les seules atteintes physiques admises par les experts en relation de causalité naturelle avec l’accident concernent les troubles apparus dans les suites immédiates de celui-ci, et ce pour une durée de deux à trois mois, l’évolution ultérieure de la symptomatologie, de même que sa répercussion sur la capacité de travail, ne trouvant pas d’explication dans les conséquences somatiques de l’accident. Comme déjà dit, les experts ont dès lors nié qu’il soit d’une quelconque manière possible que lesdits troubles soient en lien de causalité naturelle avec l’accident du 28 juillet 2003. Ils ont relevé qu’il existait « une discordance évidente entre l’importance des troubles et leur répercussion sur l’activité personnelle et professionnelle de M. A.W.________ d’une part et le caractère objectivement discret de l’événement accidentel d’autre part ». ii) Sur le plan psychiatrique, les experts judiciaires (rapport, p. 39) ont posé le diagnostic de modification durable de la personnalité après exposition à un facteur de stress prolongé, en retenant « les facteurs de stress comme constitués par l’accident lui-même et par les séquelles immédiates et différées de celui-ci (acouphène, vertiges, douleurs, problèmes neuropsychologiques) ». Or, comme vu plus haut, les experts judiciaires ont par ailleurs relevé que, sur les plans physique et somatique, les « séquelles immédiates » avérées en lien de causalité naturelle avec l’accident se sont révélées limitées, notamment dans le temps et dans leur objet (une distorsion cervicale simple de degré I à II, sans atteinte structurelle du système nerveux et locomoteur et un acouphène subjectif, notamment, le tout sur deux à trois mois). Quant aux « séquelles différées », par quoi il faut comprendre les séquelles postérieures à la période de trois mois ayant suivi l’accident énumérées dans le passage précité de l’expertise, elles ne sont pour l’essentiel pas objectivables et, au demeurant, ne sont plus dans un lien de causalité naturelle avec l’accident. iii) Quant à l’accident lui-même, d’après le rapport d’expertise biomécanique de l’expert judiciaire Giobellina, la différence de vitesse entre les deux véhicules en cause se situait  entre 5,6 km/h et 9,3 km/h. Il en déduit que la collision en cause se situe dans la zone d’innocuité. Les experts médicaux relèvent que cette différence de vitesse était « incompatible avec l’apparition des troubles dont M. A.W.________ s’est plaint par la suite ». Au demeurant, le demandeur n’a pas perdu connaissance, est sorti de son véhicule pour rejoindre celui de l’auteur de l’accident, puis est allé déposer une plainte pénale. Les dégâts aux deux véhicules ont été limités. Au vu des circonstances énumérées ci-dessus, ressortant notamment des expertises judiciaires, la Cour civile ne peut pas arriver à la conclusion qu’il est dans le cours ordinaire des choses qu’un accident tel que celui qui s’est produit, avec une différence de vitesse inférieure à 10 km/h, causant des dégâts matériels limités et aucune lésion physique objectivable ni objectivée  – si ce n’est durant une période de deux à trois mois après l’accident - crée des troubles psychiatriques de l’ampleur de ceux dont souffre le demandeur, notamment une dépression très sévère. Une conséquence si grave échappe à toute prévisibilité objective. Toutefois, dans la mesure où les experts admettent qu’un tel accident puisse en lui-même être la source d’un stress et qu’ils tiennent pour établi que le demandeur a subi - pour une durée limitée certes, mais tout de même – une atteinte physique et somatique en lien de causalité naturelle avec l’accident, il n’est pas possible d’exclure tout lien de causalité adéquate entre celui-ci et l’existence de troubles psychiques, notamment liés au stress. En l’occurrence, on se trouve manifestement dans un cas de causalité adéquate de faible intensité, au sens de la jurisprudence et de la doctrine précitées (cf. supra, cons. Va) in fine). Au vu de la disproportion manifeste entre la cause fondant le dommage et l’importance du préjudice (cf. infra cons. VI c)), la Cour civile estime que l’indemnisation de celui-ci doit être réduite de 50 %. VI. a) Le demandeur réclame la réparation de la perte de gain subie à cause de son invalidité due à l'accident du 28 juillet 2003. b) Aux termes de l'art. 62 al. 1 LCR, le mode et l'étendue de la réparation sont régis par les principes du code des obligations concernant les actes illicites, soit les art. 45 et 46 CO (Brehm, RC, op. cit., n. 300).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(SJ 2002 I 414 c. 3b).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 3.1; ATF 129 III 135 c. 2.2, JT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Cette disposition est applicable à la fixation du dommage en matière de circulation routière (Brehm, RC, op. cit., n. 22 et les références citées). L'art. 86 LCR, applicable jusqu’à l’entrée en vigueur du CPC prévoyait que, dans des procès relatifs à des prétentions découlant d'accidents causés par des véhicules automobiles ou des cycles, le juge appréciait librement les faits sans être lié par les règles de la procédure cantonale sur la preuve. Cette disposition, destinée à libérer le juge de certaines entraves formelles limitant son pouvoir d'appréciation des faits (Bussy/Rusconi, Code suisse de la circulation routière, Commentaire, 1996, n. 2.2 ad art. 86 LCR), n'autorisait toutefois pas celui-ci à compléter le cadre des allégués des parties, dans lequel il était tenu de rester (Poudret/Haldy/Tappy, op. cit., n. 1 ad art. 4 CPC-VD). De plus, comme vu ci-dessus,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 5.4.2, JT 2005 I 95; Bosshard, op. cit., spéc. p. 325 et les références citées). Par ailleurs, dans l'hypothèse où le juge est confronté à plusieurs expertises judiciaires et se rallie aux conclusions de l'une d'elles, il est tenu de motiver son choix (Bosshard, op. cit., p. 325 et la jurisprudence citée) . c) En l'espèce, il est établi que le demandeur subit une incapacité totale de travailler depuis le 1 er janvier 2005. Il convient d'examiner quels sont les effets de cette incapacité de travail sur la capacité de gain du demandeur. aa) Pour apprécier la perte de gain du demandeur, il s'agit d'établir premièrement les revenus auxquels celui-ci aurait pu prétendre sans la survenance de l'accident. A cette fin, on se fondera notamment sur les revenus qu'il tirait de son activité indépendante et de son activité d’enseignant avant l'accident du 28 juillet 2003. Pour déterminer les conséquences pécuniaires de l'incapacité de travail, il convient ensuite de déduire du revenu hypothétique qui aurait pu être réalisé sans l'invalidité, le revenu d'invalide qui a été ou qui aurait raisonnablement pu être réalisé après l'accident. bb) Avant l’accident, le demandeur exploitait seul et à titre indépendant l’entreprise individuelle [...] à [...] depuis 1994, mais, notamment du fait de l’évolution du marché dans le domaine concerné, l'activité tournait à perte depuis 2000. En effet, un résultat net de 24'000 fr. n'était même pas atteint en 1999 déjà. Selon l'expert judiciaire comptable, cette activité était accessoire et justifiée uniquement par le fait qu’il s’agissait d’une condition pour que le demandeur puisse poursuivre son activité d'enseignant auprès de l’ [...] où il travaillait comme formateur depuis 1986. Des solutions devaient être trouvées à brève échéance, car l'activité ne pouvait pas se poursuivre de cette manière. L’entreprise survivait grâce aux clients acquis dans le passé, mais la situation était déficitaire et sur le point de cesser. Compte tenu de l’état de ses comptes et des exigences demandées pour enseigner, le demandeur se devait de trouver une solution en collaboration avec des tiers, pour des raisons financières, économiques et de crédibilité vis-à-vis de l'enseignement donné. Le demandeur avait pour cette raison entrepris des négociations en vue de remettre son commerce contre un emploi à temps partiel assuré par le repreneur. Par ailleurs, depuis 1993, le demandeur était responsable de formation au sein du centre de formation professionnelle de [...] à [...]. De ses deux activités d’enseignant, selon ses déclarations fiscales, il percevait en moyenne des revenus annuels globaux de 22'962 fr. 50 (20'788 fr. en 1997, 20'814 fr. en 1998, 21'048 fr. en 1999, 19'032 fr. 2000, 27'329 fr. en 2001 et 28'764 fr. en 2002). cc) i) On peut tenir pour vraisemblable que, sans l’accident, le demandeur aurait fini par remettre son commerce. En effet, celui-ci était déficitaire et, pour les motifs susindiqués, le demandeur avait entrepris des démarches concrètes à cette fin. Afin de pouvoir continuer à enseigner, il devait cependant prendre un emploi dans la même branche. Cela était également en discussion avec le repreneur, pour un mi-temps ; là encore, on doit admettre que le demandeur aurait poursuivi dans cette voie. Il faut donc déterminer quel salaire il aurait perçu dans cet emploi. Le demandeur se fonde sur l’expertise qui estime « possible » un salaire annuel brut de 30'000 francs. Il résulte toutefois de l’instruction que la personne engagée à la place du demandeur, indisponible en raison de son accident, était rémunérée à raison de 4'000 fr. brut par mois pour un plein-temps. La Cour de céans préférera sur ce point, à l’avis de l’expert, qui se fonde sur des estimations théoriques, la situation concrète de l’entreprise. C’est ainsi à un salaire annuel brut de 24'000 fr., ou 22'488 fr. net, compte tenu d’une déduction des cotisations AVS/AC de 6,3%, que le demandeur aurait pu prétendre en 2005. Ce salaire doit évidemment être indexé pour les années suivantes, en fonction du coût de la vie. Cela signifie qu’en 2014, le salaire annuel aurait atteint la somme de 23'442 francs net. Par ailleurs, le demandeur aurait continué à enseigné. Selon l’expert, un cumul des deux postes d’enseignant aurait été difficilement conciliable avec une activité salariée à 50%. On retiendra donc, logiquement, que le demandeur n’aurait gardé qu’un seul de ces deux postes – chacun lui rapportant moins que son emploi à 50%. Comme il n’est pas possible de savoir lequel des deux le demandeur aurait choisi, on fera la moyenne des revenus de ces activités. Selon l’expert, le demandeur aurait pu gagner au plus 10'611 fr. net auprès de l’ [...], et 9'408 fr. net auprès de l’ [...]. Cela représente une moyenne de 10'009 fr. 50, que le demandeur aurait pu gagner comme enseignant en 2005. Là encore, ce revenu doit être indexé pour les années suivantes. Cela signifie qu’en 2014, il aurait atteint 10'434 fr. net. On doit ainsi admettre que le revenu annuel net du demandeur aurait passé d’un total de 32'497 fr. 50 (22'488 fr. + 10'009 fr. 50) en 2005 à un total de 33'876 fr. (23'442 fr. + 10'434 fr.) en 2014. Le revenu annuel net moyen sans l’accident aurait ainsi été de 33'186 fr. 75. dd) Pour les suites de l'accident, le demandeur a touché des prestations de la Genevoise Assurances, assurance perte de gain collective accident de l'entreprise [...], qui lui a versé des indemnités perte de gain à hauteur de 45'349 fr. 40 jusqu'au 24 mai 2004. Du 1 er juillet 2004 au 30 juin 2014, le demandeur a perçu une rente mensuelle AI totalisant un montant de 342'156 fr. pour lui et ses filles, soit 18'600 fr. du 1 er juillet 2004 au 31 décembre 2004 et 323'556 fr. du 1 er janvier 2005 au 30 juin 2014. Actuellement, sa rente mensuelle s’élève à 1'909 fr., soit 22'908 fr. par an, et la rente mensuelle pour sa fille [...] s’élève à 764 fr., soit 9'168 fr. par an. La capitalisation des rentes futures pour le demandeur, jusqu’à l’âge de sa retraite, s’élève à 136'760 fr. 75, et celle pour sa fille [...], jusqu’à ses 25 ans, à 7'726 francs. d) aa) Le demandeur réclame tout d’abord une perte de gain passée, pour les années 2005 à 2014. Or, comme on l’a vu, pour cette période, son revenu hypothétique, sans l’accident, aurait été de 331'867 fr. 50 (33'186 fr. 75 x 10 ans). Son revenu réel, provenant des rentes AI perçues pour lui-même et ses enfants, a atteint 339'594 fr., puisqu’il a touché, pour la période du 1 er janvier 2005 au 30 juin 2014, 323'556 fr. pour lui-même (et pour l’aînée jusqu’en 2008), et pour le deuxième semestre 2014, 11'454 fr. pour lui-même (1'909 fr. x 6 mois) et 4'584 fr. pour sa fille Julie (764 fr. x 6 mois). Il s’ensuit qu’il n’y a pas de perte de gain passée. bb) Quant à la perte de gain future du demandeur, partant de l’hypothèse qu’il aurait exercé son activité jusqu’à l’âge de 65 ans sans l’accident du 28 juillet 2003, soit jusqu’au 30 septembre 2021, date de sa retraite au sens de l'art. 21 LAVS (loi fédérale du 20 décembre 1946 sur l'assurance-vieillesse et survivants; RS 831.10), elle s'élève à 61'658 fr. 95. En effet, le revenu annuel du demandeur de 2014 calculé à 33'876 fr., capitalisé à 5.97 selon la table A3x ([Stauffer/Schaetzle, Tables de capitalisation, Leonardo I, 2013] pour un homme de 58 ans) donne un montant de 202'239 fr. 70 qui est seulement partiellement compensé par la rente AI capitalisée pour lui (136'760 fr. 75) et par la rente AI de sa fille [...] versée jusqu’au 14 mai 2015 (764 fr. x 5 mois). Au vu du facteur de réduction arrêté plus haut, le montant dû au demandeur au titre de sa perte de gain future s’élève à 30'829 fr. 50 (61'658 fr. 95 x 50%). e) Il faut encore relever qu’il résulte de l’expertise que le demandeur perçoit des revenus locatifs, provenant de la location de l’immeuble de [...] où il exerçait son activité d’indépendant. La Cour de céans estime que l’accident, respectivement la cessation de cette activité indépendante, ne change rien à la situation. En effet, comme propriétaire, le demandeur doit en tout état de cause annoncer son revenu locatif, quel que soit son locataire. Quant au loyer payé, il ne l’était pas par le demandeur personnellement mais par son entreprise, certes individuelle, mais tout de même disposant d’une comptabilité propre. Avec la cessation de cette activité, on peut supposer que ce bien est loué à un tiers. Dans les deux situations, le demandeur, propriétaire, dispose d’un revenu locatif payé par un tiers. VII. a) Le demandeur conclut au paiement par la défenderesse d'un montant de 14’493 fr. au titre de la perte de rente vieillesse LPP. b) Or, en l’espèce, il ressort de l’état de fait que le demandeur ne gagnait pas le salaire coordonné et qu’il ne cotisait pas à la prévoyance professionnelle. En outre, l’expert comptable a constaté que le demandeur n’était pas concerné ni intéressé par les deuxième et troisième pilier A, ce dernier ayant indiqué à l’expert que le total de ses gains annuels aurait de toute manière été bloqué au montant non soumis à la LPP. Le demandeur n'a pas démontré qu’il s’y serait intéressé et qu’il aurait cotisé alors qu’il s’est toujours organisé professionnellement pour éviter de dépasser le salaire minimum coordonné afin de ne pas payer de telles cotisations LPP. On doit donc retenir qu'il aurait continué de cette manière. Aucun montant ne peut par conséquent être alloué au demandeur au titre d'une perte de rente vieillesse LPP. Au demeurant, il n'y a pas de perte de rente AVS dans la mesure où la rente AI sera remplacée par une rente AVS complète. VIII. a) Le demandeur réclame un montant relatif à sa perte sur activité domestique passée du 28 juillet 2003 au 30 juin 2009 de 65'533 fr., à sa perte sur activité domestique future calculée jusqu’à l’âge de 65 ans de 106'108 fr. et à sa perte sur activité domestique future après l’âge de 65 ans de 55'380 francs. b)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JT 2005 I 502 et les arrêts cités).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 5.1). Il s’agit donc de procéder à une évaluation concrète de l’invalidité (Werro, Le dommage ménager: notion et calcul, in Le préjudice corporel: bilan et perspectives, 2009, pp. 26 ss).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w:t>
      </w:r>
    </w:p>
    <w:p>
      <w:r>
        <w:rPr>
          <w:b/>
        </w:rPr>
        <w:t>E. 8</w:t>
      </w:r>
    </w:p>
    <w:p>
      <w:r>
        <w:t>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JT 2003 I 511). c) En l'espèce, il ressort de l’expertise médicale qu’en raison de son atteinte à sa santé, le demandeur est atteint dans l’exercice de l’activité domestique. Celui-ci n’allègue cependant pas qu’il exerçait avant l’accident une activité ménagère effective, ni a fortiori le temps qu’il y consacrait ; il ne parvient pas non plus à établir qu’il ne peut plus accomplir les activités énumérées dans le tableau produit sous pièce 20 (ad all. 163 à 172), a fortiori dans quelle mesure il ne peut plus les accomplir. Par conséquent, le demandeur ne prouve pas l’existence d’un préjudice ménager. Du reste, dans son mémoire de droit, il ne reprend plus cette prétention (cf. récapitulatif pp. 26-27). Les prétentions du demandeur au titre de préjudice ménager actuel et futur doivent donc être rejetées. IX. a) Le demandeur conclut au paiement par la défenderesse d'un montant de 15’040 fr. au titre de dommage lié aux frais de traitements passés et d’un montant de 18'844 fr. au titre des frais de traitements futurs. b)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 1053; Brehm, Dommage corporel, op. cit., nn. 413). Hormis la prescription, il n'y a pas de limite dans le temps pour l'obligation de prise en charge de frais pour les soins dus à l'accident (Brehm, Dommage corporel, op. cit., n. 435-437). c) En l’espèce, si l’expert comptable a constaté que les frais de traitement passés non couverts par les assurances s'élèvent, pour le demandeur, à 6'498 fr. (1'083 fr. [franchise de 300 fr. + quote-part de 700 fr. + frais de 83 fr.] x 6) et que les frais de traitement futurs non couverts se montent à 1'083 fr. par année, il a également précisé que les frais de traitements non couverts comprenaient tous les frais de traitement payés par le demandeur auprès de l’assurance, sans distinction quant à l’origine des affections. Il apparaît dès lors que les montants arrêtés par l’expert correspondent aux frais médicaux annuels mis à la charge du demandeur sous forme de franchise notamment, sans que d’éventuels frais relatifs à l’accident du 28 juillet 2003 soient reconnaissables. Faute d'allégations et d'offres de preuve précises, on ne peut allouer au demandeur un montant au titre des frais de traitements passés et futurs. X. a) Le demandeur réclame le versement de la somme de 56'361 fr. pour les frais d’avocat et de procédure avant procès. b) L'art. 46 CO permet à la victime d'obtenir le remboursement de ses frais d'avocat (Werro, in Thévenoz/Werro (éd.), Commentaire romand, CO I,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c) En l’espèce, le montant réclamé par le demandeur au titre des démarches entreprises par son conseil concerne non seulement des opérations hors procès, mais également des opérations en relation avec la rédaction de l’écriture de demande devant l’autorité de céans, dont l’indemnisation fait partie des dépens. Il convient dès lors de soustraire du montant d’honoraires figurant sur la note produite en procédure (19'675 fr.) le montant concernant les opérations relatives à la rédaction de l’écriture de demande. Il reste un solde de 10'675 fr. auquel il convient d'ajouter la TVA à 7,6% (684 fr.). Le demandeur a aussi droit au remboursement des frais d’expertise hors procès (10'480 fr.). L'indemnisation étant réduite de moitié, la somme totale de 10'082 fr. (20'164 fr. x 50%) est due au demandeur au titre de remboursement partiel pour ses frais d’avocats et de procédure avant procès. XI. a) Le demandeur conclut à l'allocation d'une indemnité d'un montant de 300'000 fr. pour le tort moral qu'il a subi à la suite de l'accident du 28 juillet 2003.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 11.2; ATF 132 II 117 c. 2.2.2; ATF 123 III 306 c. 9b, rés. in JT 1998 I 27). Comme telles, les lésions corporelles ne suffisent pas pour admettre l'existence d'un tort moral. L'exigence légale des "circonstances particulières" signifie que ces lésions, comme la souffrance qui en résulte, doivent revêtir une certaine gravité (Werro, RC,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(ATF 141 III 97 c.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TF 4A_423/2008 du 12 novembre 2008 c. 2.1; TF 4C.263/2006 du 17 janvier 2006 c. 7.3).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 11.4;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c) En l'espèce, suite à l'accident de 2003, le demandeur est en incapacité de travail à 100% pour des raisons psychiques depuis fin 2004. Il a présenté un état de stress post-traumatique qui a été, au fil des ans, compliqué d’une évolution défavorable, permettant de retenir, neuf ans plus tard, le diagnostic de modification durable de la personnalité après exposition à un facteur de stress prolongé, les facteurs de stress étant constitués tant par l'accident lui-même que par les séquelles immédiates et différées de celui-ci (acouphène, vertiges, douleurs, problèmes neuropsychologiques). Alors qu’il avait une importante vie associative, qu’il était quelqu’un d’ouvert aux autres, jovial, et apprécié de ses semblables, les experts médicaux ont constaté, chez le demandeur, un isolement social, une attitude méfiante envers le monde, des sentiments de vide et de perte d'espoir, et un détachement/indifférence face au monde. Cet ensemble de symptômes est actuellement compliqué de phobies avec comportement obsessionnel. Le demandeur souffre donc d’une pathologie psychiatrique sévère. S’il est aujourd’hui un homme gravement limité, essentiellement sur le plan psychique, dans sa vie professionnelle, et si sa vie sociale est considérablement rétrécie, aucune limitation fonctionnelle majeure de la mobilité n’est toutefois retenue par les experts médicaux. En outre, ces derniers n’ont pas constaté de lien de causalité sur le plan neurologique, le diagnostic de syndrome post-commotionnel n’ayant pas été retenu, ni sur le plan ORL, dès lors qu’aucune atteinte organique post-traumatique n’a été observée. Toutefois, pour les motifs exposés plus haut (cf. cons. V c) bb)), le lien de causalité adéquate entre l'accident et les conséquences précitées est de faible intensité, justifiant une réduction de 50% de la réparation morale. Au vu des éléments qui précèdent, il apparaît équitable d'allouer au demandeur une indemnité réduite pour tort moral d'un montant de 15'000 fr. (30'000 fr. x 50%). XII. 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op. cit., n. 1354; Brehm, Dommage corporel, op. cit., nn. 752 ss). La pratique de la Cour civile retient la date de l'accident. b) En vertu de l'art. 3 CPC-VD , le juge est lié par les conclusions des parties qu'il peut réduire mais non pas augmenter ni modifier. En l’espèce, le demandeur a pris des conclusions « avec intérêt à 5% » sans indiquer de date. La cour de céans retient comme point de départ la date à laquelle ces conclusions ont été prises, soit la date de la demande du 6 février 2009. L’intérêt moratoire à 5% ne pourra donc pas être alloué avant cette date. c) Au vu de ce qui précède, les montants suivants doivent être alloués au demandeur : - 30'829 fr. 50, avec intérêt à 5% l'an dès le 1er janvier 2015, à titre d'indemnité pour la perte de gain future, montant exigible à cette date dans la mesure où il s’agit d’une prétention future ; - 10'082 fr., avec intérêt à 5% l'an dès le 6 février 2009, à titre de remboursement pour ses frais d’avocat et de procédure avant procès, montant exigible au jour du paiement qui n’a toutefois pas été établi mais dont la date, antérieure au 6 février 2009, ne pourrait de toute manière pas être retenue au vu des motifs exposés ci-dessus ; - 15'000 fr., avec intérêt à 5% l'an dès le 6 février 2009, à titre d'indemnité pour tort moral, montant exigible au jour de l’accident, mais dont la date ne peut être retenue pour les mêmes raisons. XIII. a) La défenderesse conclut reconventionnellement au paiement par le demandeur d’un montant de 4'800 fr. avec intérêt à 5% l’an dès le 2 juin 2009. Ce montant correspondrait aux frais qui ont été mis à sa charge dans le cadre de la procédure d’expertise hors procès. b) D'après l'art. 255a CPC-VD, chaque partie supporte ses frais et dépens de la procédure d'expertise hors procès, sauf son recours, s'il y a lieu, contre la personne qui aurait rendu nécessaire la preuve à futur. Le droit au remboursement des dépens dépend de la nécessité de la preuve à futur, de son résultat et celui du procès au fond, donc de l'existence d'un droit du requérant; si celui-ci n'obtient que partiellement gain de cause, ils doivent lui être partiellement remboursés (JT 1982 III 94). Si l'expertise se révèle inutile, en particulier parce que la prétention du requérant était infondée, les dépens de l'expertise hors procès ne doivent pas lui être alloués (Poudret et alii, op. cit., n. 1 ad art. 255a CPC-VD, p. 401 et les références citées). c) En l'occurrence, le résultat de l'expertise hors procès réalisée par la Dresse Navarro, psychiatre, n'était pas favorable à la défenderesse; quant au procès au fond, il reconnaît le droit du demandeur à être indemnisé des suites de l'accident. La défenderesse ne saurait, dans ces conditions, pouvoir exercer un droit de recours contre le demandeur pour obtenir le remboursement de ses dépens. Au demeurant, la défenderesse n'a pas établi le montant qu'elle réclame à ce titre, aucune pièce n'ayant été produite prouvant le montant desdits dépens. Sa conclusion reconventionnelle doit donc être rejetée. XIV.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sur le principe d'une indemnisation, mais succombant en très grande partie sur les conclusions chiffrées prises à l'encontre de la défenderesse, le demandeur a droit à des dépens réduits de dix-neuf vingtièmes, à la charge de la défenderesse, qu'il convient d'arrêter à 4'266 fr. 10 , savoir : a) 2’000 fr. à titre de participation au vingtième des honoraires de son conseil; b) 100 fr. pour les débours de celui‑ci; c) 2’166 fr.</w:t>
      </w:r>
    </w:p>
    <w:p>
      <w:r>
        <w:rPr>
          <w:b/>
        </w:rPr>
        <w:t>E. 10</w:t>
      </w:r>
    </w:p>
    <w:p>
      <w:r>
        <w:t>en remboursement du vingtième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