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4/2014 vom 22. Januar 2014</w:t>
      </w:r>
    </w:p>
    <w:p>
      <w:r>
        <w:t>VD Tribunal cantonal, 2014-01-22, FR</w:t>
      </w:r>
    </w:p>
    <w:p>
      <w:r>
        <w:rPr>
          <w:b/>
        </w:rPr>
        <w:t xml:space="preserve">Quelle: </w:t>
      </w:r>
      <w:r>
        <w:t>https://mcp.opencaselaw.ch/entscheid/vd_findinfo_4_2014</w:t>
      </w:r>
    </w:p>
    <w:p>
      <w:r>
        <w:t>FR: VD_FINDINFO 4/2014 du 22 janvier 2014</w:t>
      </w:r>
    </w:p>
    <w:p>
      <w:r>
        <w:t>IT: VD_FINDINFO 4/2014 del 22 gennaio 2014</w:t>
      </w:r>
    </w:p>
    <w:p>
      <w:pPr>
        <w:pStyle w:val="Heading2"/>
      </w:pPr>
      <w:r>
        <w:t>Regeste</w:t>
      </w:r>
    </w:p>
    <w:p>
      <w:r>
        <w:t>RÉCUSATION | 10 al. 2 LPA-VD, 11 al. 3 LPA-VD, 9 let. e LPA-VD</w:t>
      </w:r>
    </w:p>
    <w:p>
      <w:pPr>
        <w:pStyle w:val="Heading2"/>
      </w:pPr>
      <w:r>
        <w:t>Volltext</w:t>
      </w:r>
    </w:p>
    <w:p>
      <w:r>
        <w:t>Waadtland Tribunal cantonal Cour administrative 22.01.2014 4/2014 Vaud Tribunal cantonal Cour administrative 22.01.2014 4/2014 Vaud Tribunal cantonal Cour administrative 22.01.2014 4/2014</w:t>
      </w:r>
    </w:p>
    <w:p>
      <w:r>
        <w:t>RÉCUSATION | 10 al. 2 LPA-VD, 11 al. 3 LPA-VD, 9 let. e LPA-VD</w:t>
      </w:r>
    </w:p>
    <w:p>
      <w:r>
        <w:t>TRIBUNAL CANTONAL 4/2014 COUR ADMINISTRATIVE ______________________________ RECUSATION ADMINISTRATIVE Séance du 22 janvier 2014 ______________________ Présidence de               M. Meylan , président Juges :              MM. Muller et Michellod Greffière :              Mme Gabaz ***** Art. 10 al. 2, 11 al. 3 LPA-VD; 6 al. 1 let. a ROTC Vu le recours déposé auprès de la Cour de droit administratif et public du Tribunal cantonal (ci-après: CDAP) le 6 septembre 2013 par T.________ contre la décision sur réclamation rendue le 21 août 2013 par l'Administration cantonale des impôts (ci-après: ACI), vu le dossier de cette cause ([...]), instruit par le Juge cantonal W.________, vu le courrier du 15 décembre 2013 d'T.________, vu les déterminations du magistrat intimé, adressées pour informations aux parties, vu la cause [...] opposant les mêmes parties et instruite par le juge intimé, vu en particulier l'arrêt de la Cour de céans du 25 juillet 2013 rejetant la demande de récusation présentée par T.________ à l'encontre du Juge W.________ dans la cause [...], vu les autres pièces au dossier; attendu que le recours déposé le 6 septembre 2013 par T.________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les demandes de récusation visant un juge cantonal, que le courrier du 15 décembre 2013 d'T.________ doit être compris comme une demande implicite de récusation du Juge W.________ dans la cause [...], que ce courrier contient en effet la requête de "confirmer que sont réunies, au sens de la jurisprudence de la CEDH, les conditions suffisantes qui permettent de conclure au manque d'impartialité du Juge W.________, qui a agi de façon ouvertement favorable à l'ACI", qu'au surplus, la demande apparaît déposée en temps utile au sens de l'art.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l'espèce, on ne voit pas sur quelle base le requérant fonde sa requête, qu'il n'allègue pas d'autres éléments que ceux déjà soulevés dans sa demande de récusation rejetée par arrêt de la Cour de céans du 25 juillet 2013, confirmé par arrêt du Tribunal fédéral du 11 septembre 2013, qu'au surplus, aucune des mesures d'instruction auxquelles le Juge W.________ a procédé dans la cause [...] ne laisse entrevoir un motif de prévention à l'encontre d'T.________, qu'en définitive, il n'existe aucune raison de douter de l'impartialité du magistrat intimé, que la requête, mal fondée, doit ainsi être rejetée; attendu que lorsqu'une demande de récusation se révèle d'emblée mal fondée, il n'y a pas lieu de recueillir les déterminations des autres parties, mais de rejeter la demande au seul vu de la requête déposée au greffe ou de la dictée faite au procès 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la présente décision peut être rendue sans frais. Par ces motifs, la Cour administrative du Tribunal cantonal, statuant à huis clos prononce : I. La demande de récusation du Juge cantonal W.________, présentée par T.________ le 15 décembre 2013 est rejetée. II. L'arrêt est rendu sans frais. III. Il n'est pas alloué de dépens. IV. L'arrêt est exécutoire. Le président :               La greffière : Du L’arrêt qui précède, dont la rédaction a été approuvée à huis clos, est notifié, par l'envoi d'une copie complète, à : - T.________, personnellement, - M. le Juge cantonal W.________, et communiqué par l'envoi de photocopies à : - Administration cantonale des impôts,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