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452 vom 8. Oktober 2024</w:t>
      </w:r>
    </w:p>
    <w:p>
      <w:r>
        <w:t>VD Tribunal cantonal, 2024-10-08, FR</w:t>
      </w:r>
    </w:p>
    <w:p>
      <w:r>
        <w:rPr>
          <w:b/>
        </w:rPr>
        <w:t xml:space="preserve">Quelle: </w:t>
      </w:r>
      <w:r>
        <w:t>https://mcp.opencaselaw.ch/entscheid/vd_findinfo_452___________</w:t>
      </w:r>
    </w:p>
    <w:p>
      <w:r>
        <w:t>FR: VD_FINDINFO 452 du 8 octobre 2024</w:t>
      </w:r>
    </w:p>
    <w:p>
      <w:r>
        <w:t>IT: VD_FINDINFO 452 del 8 ottobre 2024</w:t>
      </w:r>
    </w:p>
    <w:p>
      <w:pPr>
        <w:pStyle w:val="Heading2"/>
      </w:pPr>
      <w:r>
        <w:t>Regeste</w:t>
      </w:r>
    </w:p>
    <w:p>
      <w:r>
        <w:t>CONCUBINAGE, MÉNAGE COMMUN, APPRÉCIATION DES PREUVES | 159 al. 3 CC, 157 CPC (CH)</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w:t>
      </w:r>
    </w:p>
    <w:p>
      <w:r>
        <w:rPr>
          <w:b/>
        </w:rPr>
        <w:t>E. 1.2</w:t>
      </w:r>
    </w:p>
    <w:p>
      <w:r>
        <w:t>Partant, formé en temps par une partie qui a un intérêt digne de protection (art. 59 al. 2 let. a CPC), contre une décision finale et portant sur des conclusions patrimoniales qui, capitalisées, sont supérieures à 10'000 fr., l’appel, écrit et motivé,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En procédure d’appel,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(ATF 142 III 413 consid. 2.2.2, JdT 2017 II 153 ; TF 5A_67/2020 du 10 août 2020 consid. 3.3.1). Toutefois, lorsqu’il y a lieu de trancher des questions relatives aux enfants, lesquelles sont soumises à la maxime inquisitoire illimitée (art. 296 al. 1 CPC), il convient de considérer que l'application stricte de l'art. 317 al. 1 CPC n'est pas justifiée et que les parties peuvent présenter des faits et moyens de preuve nouveaux en appel même si les conditions de cette disposition ne sont pas réunies (ATF 144 III 349 consid. 4.2.1 et réf. cit.). Pour les mêmes motifs, la procédure relative aux enfants étant régie par la maxime d’office (art. 296 al.</w:t>
      </w:r>
    </w:p>
    <w:p>
      <w:r>
        <w:rPr>
          <w:b/>
        </w:rPr>
        <w:t>E. 2.3</w:t>
      </w:r>
    </w:p>
    <w:p>
      <w:r>
        <w:t>En l’espèce, à l’appui de son appel, l’appelante produit un lot de pièces, dont la plupart semblent être des pseudo nova ou des nova . En tout état de cause, vu l’implication d’enfants mineurs à la présente cause, la maxime inquisitoire et la maxime d’office s’appliquent, de sorte que ces pièces sont recevables sans égard à l’art. 317 CPC.</w:t>
      </w:r>
    </w:p>
    <w:p>
      <w:r>
        <w:rPr>
          <w:b/>
        </w:rPr>
        <w:t>E. 3</w:t>
      </w:r>
    </w:p>
    <w:p>
      <w:r>
        <w:t>L’appelante conteste les faits retenus par le jugement attaqué et l’appréciation des preuves opérée par le premier juge.</w:t>
      </w:r>
    </w:p>
    <w:p>
      <w:r>
        <w:rPr>
          <w:b/>
        </w:rPr>
        <w:t>E. 3.1.1</w:t>
      </w:r>
    </w:p>
    <w:p>
      <w:r>
        <w:t>Elle fait valoir en premier lieu que l’intimé entretiendrait une communauté de vie « manifeste » avec Mme [...], ce depuis 2017. L’appelante se prévaut d’une jurisprudence fédérale en lien avec le concubinage qualifié. A l’appui de cet argument, elle produit deux photographies « prises depuis la voie publique » d’une boîte aux lettres comportant les nom et prénom de l’intimé et les prénoms des deux enfants des parties, sous lesquels figure les nom et prénom de [...]. La photographie reproduite montre également un imprimé « Migros Magazine » indiquant la date du 2 avril 2024.</w:t>
      </w:r>
    </w:p>
    <w:p>
      <w:r>
        <w:rPr>
          <w:b/>
        </w:rPr>
        <w:t>E. 3.1.2</w:t>
      </w:r>
    </w:p>
    <w:p>
      <w:r>
        <w:t>Par concubinage dit qualifié ou stable, la jurisprudence entend une communauté de vie d'une certaine durée, voire durable, entre deux personnes, à caractère en principe exclusif, qui présente une composante tant spirituelle que corporelle et économique, et qui est parfois désignée comme une « communauté de toit, de table et de lit ». Le tribunal doit à ce sujet procéder à une appréciation de tous les facteurs déterminants, étant précisé que la qualité d'une communauté de vie s'évalue au regard de l'ensemble des circonstances de la vie commune. Le droit à une contribution d’entretien est supprimé lorsque l’époux vit dans une relation solide, qui lui offre des avantages similaires à ceux du mariage. Ce qui est déterminant, ce n'est pas (plus) le critère de l'abus de droit, mais le fait que l'ex-conjoint forme avec son nouveau partenaire une communauté de vie si étroite que ce dernier semble disposé à lui apporter la fidélité et l'assistance que l'art. 159 al. 3 CC exige des personnes mariées. L'existence ou non d'un concubinage qualifié ne dépend pas des moyens financiers des concubins, mais de leurs sentiments mutuels et de l'existence d'une communauté de destins (ATF 138 III 97 consid. 2.3.3, JdT 2012 II 479 ; TF 5A_109/2021 du 8 février 2022 consid. 3.3.1). Une communauté de vie ne suppose, de nos jours, pas nécessairement une communauté d’habitation (TF 5A_72/2022 du 18 juillet 2023 consid. 4.2). Il incombe au débiteur d’entretien de prouver que le créancier vit dans un concubinage qualifié avec un nouveau partenaire. Le Tribunal fédéral a toutefois posé la présomption – réfragable – qu’un concubinage est qualifié lorsqu’il dure depuis cinq ans (ATF 138 III 97 consid. 3.4.2 ; ATF 118 II 235 consid. 3a ; TF 5A_109/2021 précité consid. 3.3.1). La présomption libère le débirentier de l’obligation de prouver que les concubins sont engagés à s’assister entre eux, mais ne le libère pas de l’obligation de prouver la nature qualifiée du concubinage (TF 5A_935/2020 du 8 juin 2021 consid. 6.2).</w:t>
      </w:r>
    </w:p>
    <w:p>
      <w:r>
        <w:rPr>
          <w:b/>
        </w:rPr>
        <w:t>E. 3.1.3</w:t>
      </w:r>
    </w:p>
    <w:p>
      <w:r>
        <w:t>Nonobstant que l’appel ne peut ni ne doit servir à compléter une procédure incomplète en première instance et ce quelles que soient les maximes applicables, ce qui pose la question de la recevabilité de ce moyen, qui n’a jamais été soulevé en première instance, l’argument doit de toute façon être rejeté sur le fond, dès lors que l’appelante n’établit pas que les conditions d’un concubinage qualifié seraient remplies, notamment sous l’angle de la durée de la relation, les photographies produites établissant tout au plus que le nom de Mme [...] figure depuis une période récente (vu la date du 2 avril 2024 figurant sur le magazine dépassant de la boîte aux lettres sur la 2 ème photographie) sur la boîte aux lettres de l’intimé, non que celle-ci vivrait depuis deux ans à cet endroit, comme l’allègue l’appelante sans le démontrer. Pour le surplus, elle n’étaie absolument pas son assertion selon laquelle Mme [...] assurerait fidélité et assistance à l’intimé, de la manière dont l’art. 159 al. 3 CC l’impose aux époux, ni que les intéressés se sentiraient liés par une communauté de destin au sens de la jurisprudence susmentionnée. En particulier, elle assène certes que l’intimé aurait subi une intervention médicale il y a deux ans et qu’à sa suite, Mme [...] vivrait à ses côtés à [...], mais tout cela n’est en rien démontré et en tout cas pas le lien de cause à effet qu’elle invoque. De plus, même s’il y avait concubinage qualifié, cela n’empêcherait pas la mère des enfants de devoir subvenir à leur entretien, dès lors que ce paramètre n’est pas à même d’intervenir dans le calcul effectué ici pour déterminer la quotité des contributions dues. Le moyen doit donc être rejeté.</w:t>
      </w:r>
    </w:p>
    <w:p>
      <w:r>
        <w:rPr>
          <w:b/>
        </w:rPr>
        <w:t>E. 3.2.1</w:t>
      </w:r>
    </w:p>
    <w:p>
      <w:r>
        <w:t>En second lieu, l’appelante se prévaut de sa situation personnelle, soit en particulier de sa santé dégradée qui ne lui permettrait pas de reprendre une activité professionnelle à plein temps, alors qu’elle se trouve en arrêt maladie depuis juillet 2023 et au bénéfice de l’aide sociale depuis mai 2023. Elle se prévaut de divers certificats médicaux, produits à l’appui de l’appel, alors que le jugement attaqué mentionne qu’elle n’a pas allégué de problèmes de santé qui l’empêcheraient d’augmenter son taux d’activité à 100% en qualité d’aide-comptable, activité qu’elle exerçait déjà, mais à 40%, dans le laboratoire dentaire de son compagnon (jugement, pp. 22 et 23).</w:t>
      </w:r>
    </w:p>
    <w:p>
      <w:r>
        <w:rPr>
          <w:b/>
        </w:rPr>
        <w:t>E. 3.2.2</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3.2.3</w:t>
      </w:r>
    </w:p>
    <w:p>
      <w:r>
        <w:t>L’appelante se prévaut en appel de son incapacité de travail partielle depuis juillet 2023, laquelle est documentée, à des taux variables, par les certificats médicaux qu’elle produit à l’appui de son écriture. Elle n’allègue toutefois rien d’autre au sujet de la nature et la durée prévisible de cette incapacité et il faut constater que les certificats produits sont également muets quant à la nature de l’affection dont souffre l’appelante. Tout au plus peut-on observer que certains d’entre eux ont été délivrés par un médecin généraliste et font état d’un taux d’incapacité de 80% entre les 19 juin et 21 juillet 2023 pour cause de « maladie », d’autres depuis le 20 juillet 2023 et jusqu’au 30 mars 2024, par une médecin psychiatre assistante, également pour « maladie », à un taux d’incapacité ayant passé de 20% puis 30%, à 60% pour le dernier d’entre eux. Eu égard à la jurisprudence en la matière, les certificats médicaux, non étayés autrement que par la mention de la nature générique (maladie ou accident) et de la durée de l’incapacité, ne suffisent pas à établir une incapacité réelle et durable affectant la capacité de travail et de gain de l’appelante. Cela vaut a fortiori en présence d’enfants mineurs, dès lors qu’il est en ce cas attendu du débirentier – en l’occurrence de l’appelante – qu’il – elle – mette tout en œuvre pour mobiliser pleinement sa capacité de travail et de gain maximale  (ATF 137 III 118 consid. 3.1 ; TF 5A_946/2018 du 6 mars 2019 consid. 3.1 et réf. cit.). Dès lors que l’on ignore tout de l’affection dont souffre l’appelante et de son incidence sur sa capacité de gain à long terme, les certificats médicaux produits en appel, émanant des médecins traitants de l’intéressée et au contenu laconique, sont insuffisants à établir une incapacité de l’intéressée à mobiliser sa capacité de gain par une activité à temps plein, de manière à compléter l’activité déjà exercée à temps partiel comme le retient le jugement attaqué. Ce grief doit être rejeté également, ce qui scelle le sort de l’appel.</w:t>
      </w:r>
    </w:p>
    <w:p>
      <w:r>
        <w:rPr>
          <w:b/>
        </w:rPr>
        <w:t>E. 4.1</w:t>
      </w:r>
    </w:p>
    <w:p>
      <w:r>
        <w:t>En définitive, l’appel, manifestement infondé, doit être rejeté (art. 312 al. 1 in fine CPC), et le jugement confirmé.</w:t>
      </w:r>
    </w:p>
    <w:p>
      <w:r>
        <w:rPr>
          <w:b/>
        </w:rPr>
        <w:t>E. 4.2</w:t>
      </w:r>
    </w:p>
    <w:p>
      <w:r>
        <w:t>La requête d’assistance judiciaire de l’appelante doit être rejetée, l’appel étant, pour les motifs qui précèdent, d’emblée dénué de chance de succès, de sorte qu’il n’aurait pas été formé par un plaideur raisonnable (art. 117 let. b CPC).</w:t>
      </w:r>
    </w:p>
    <w:p>
      <w:r>
        <w:rPr>
          <w:b/>
        </w:rPr>
        <w:t>E. 4.3</w:t>
      </w:r>
    </w:p>
    <w:p>
      <w:r>
        <w:t>Les frais judiciaires de deuxième instance, arrêtés à 1'200 fr. (art. 63 al. 2 TFJC [tarif des frais judiciaires civils du 28 septembre 2010 ; BLV 270.11.5]), sont mis à la charge de l’appelante, qui succombe (art. 106 al. 1 CPC). 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