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37/2019/EKA vom 20. September 2019</w:t>
      </w:r>
    </w:p>
    <w:p>
      <w:r>
        <w:t>VD Tribunal cantonal, 2019-09-20, FR</w:t>
      </w:r>
    </w:p>
    <w:p>
      <w:r>
        <w:rPr>
          <w:b/>
        </w:rPr>
        <w:t xml:space="preserve">Quelle: </w:t>
      </w:r>
      <w:r>
        <w:t>https://mcp.opencaselaw.ch/entscheid/vd_findinfo_37_2019_EKA</w:t>
      </w:r>
    </w:p>
    <w:p>
      <w:r>
        <w:t>FR: VD_FINDINFO 37/2019/EKA du 20 septembre 2019</w:t>
      </w:r>
    </w:p>
    <w:p>
      <w:r>
        <w:t>IT: VD_FINDINFO 37/2019/EKA del 20 settembre 2019</w:t>
      </w:r>
    </w:p>
    <w:p>
      <w:pPr>
        <w:pStyle w:val="Heading2"/>
      </w:pPr>
      <w:r>
        <w:t>Regeste</w:t>
      </w:r>
    </w:p>
    <w:p>
      <w:r>
        <w:t>PERTE DE GAIN, TORT MORAL, DOMMAGE INDIRECT, HONORAIRES, FRAIS DE FORMATION | 422 CO, 46 CO, 47 CO, 49 CO, 291 CPC, 58 LCR, 62 LCR, 65 LCR</w:t>
      </w:r>
    </w:p>
    <w:p>
      <w:pPr>
        <w:pStyle w:val="Heading2"/>
      </w:pPr>
      <w:r>
        <w:t>Erwägungen</w:t>
      </w:r>
    </w:p>
    <w:p>
      <w:r>
        <w:rPr>
          <w:b/>
        </w:rPr>
        <w:t>E. 14</w:t>
      </w:r>
    </w:p>
    <w:p>
      <w:r>
        <w:t>juillet 2008, soit avant l'entrée en vigueur du CPC. L'instance a donc été ouverte sous l'empire du CPC-VD (Code de procédure civile vaudoise du 14 décembre 1966, dans sa version au 31 décembre 2010; BLV 270.11) et n'est pas close à ce jour. Il convient dès lors d'appliquer le CPC-VD à la présente cause. Les dispositions de la LOJV (loi d'organisation judiciaire du 12 décembre 1979, dans sa teneur au 31 décembre 2010; BLV 173.01), sont également applicables. III. a) Aux termes de l'art. 291 CPC-VD, le tribunal peut, avant et pendant les débats, ordonner l'administration de preuves régulièrement offertes, que le juge instructeur avait refusé d'administrer, et l'audition de témoins entendus hors procès ou en cours d'instruction. Le complément d'instruction au sens de cette disposition peut être ordonné d'office ou sur réquisition (Poudret/Haldy/Tappy, Procédure civile vaudoise, 3 e éd., n. 1 ad art. 291 CPC-VD). Il s'agit en outre de la seule voie à disposition pour contester la décision de refus du juge instructeur (JdT 1978 III 9 ss). La partie qui requiert un complément d'instruction au sens de l'art. 291 CPC-VD doit procéder en la forme incidente selon les art. 146-ss CPC-VD et non par une simple réquisition (Poudret/Haldy/Tappy, loc. cit.; Moser, Le complément d'instruction de l'art. 291 CPC-VD, in JdT 1978 III 2 ss, pp. 3 ss; Poudret, Remarques sur l'art. 291 CPC-VD, JdT 1978 III 9 ss, spéc. p. 10). Selon l'art. 146 CPC-VD, le juge compétent en matière incidente est le juge instructeur (al. 1), les conclusions prises en la forme incidente moins de dix jours avant l'audience de jugement étant jugées par le tribunal à cette audience (al. 2). La jurisprudence considère que c’est la Cour civile, et non plus le juge instructeur, qui est compétente pour connaître d’une requête incidente en complément d’instruction lorsque les mémoires de droit ont été déposés ou lorsque le délai fixé à cet effet est échu (CCIV, 18 juin 2007/90 ; CCIV, 7 mai 2007/57; Poudret/Haldy/Tappy, op. cit., n. 1 ad art. 290 CPC-VD). b) En l'espèce, la requête de la défenderesse a pour objet un complément d'instruction, qui tend à l'introduction des allégués 135 à 145 et 147 à 150 avec les moyens de preuves qui s'y rapportent, tels qu'ils ressortent de sa requête de réforme du 14 septembre 2018 qui a été rejetée par le juge instructeur selon jugement incident du 16 janvier 2019. Cette requête a été formée dans le cadre du mémoire de droit déposé le dernier jour du délai prévu à cet effet et reçue au tribunal le lendemain. La Cour civile est donc compétente pour en connaître. En revanche, le complément d'instruction requis par la défenderesse dans le corps du texte de son mémoire de droit a été introduit au mépris des formes légales, le mémoire de droit n’étant pas une requête ni n’étant notifié à la partie adverse. Il convient dès lors d’en faire abstraction. Au surplus, il convient de relever que le complément d'instruction au sens de l'art. 291 CPC-VD ne concerne que l'administration de preuves régulièrement offertes mais que le juge instructeur a refusé d'administrer, et non pas l'introduction de nouveaux allégués. S'agissant de dites preuves, il est renvoyé aux motifs de la décision incidente rendue le 16 janvier 2019. La requête doit dès lors être rejetée. IV. Selon l'art. 65 al. 1 LCR (loi fédérale du 19 décembre 1958 sur la circulation routière; RS 741.01), le lésé peut intenter une action directe contre l'assureur, dans les limites des montants prévus par le contrat d'assurance. L'al. 2 dispose que les exceptions découlant du contrat d'assurance ou de la loi fédérale du 2 avril 1908 sur le contrat d’assurance ne peuvent être opposées au lésé. Cette disposition constitue une garantie efficace permettant de satisfaire les prétentions du lésé (Bussy/Rusconi et alii, Code suisse de la circulation routière, 4ème éd., n. 1.3 ad art. 65 LCR). Il est établi que l'accident de circulation du 21 janvier 2002 a mis en cause un véhicule conduit par [...] qui était assuré auprès de la défenderesse. Celle-ci a donc qualité pour défendre dans la procédure ouverte par le demandeur, lésé dans l’accident litigieux, ce qu'elle ne conteste d'ailleurs pas. Elle a en effet admis, sous réserve du calcul du préjudice, que la responsabilité civile de son assuré était entièrement engagée dans l'accident et est convenue avec le demandeur que le litige portait seulement sur le dommage et l'indemnité pour tort moral. V. a) La responsabilité du détenteur d'un véhicule automobile est régie par les art. 58 et suivants LCR, les règles générales des art. 41 et suivants CO (Code suisse des obligations du 30 mars 1911; RS 220) n'étant applicables que dans la mesure où cette loi le prévoit expressément (Werro, La responsabilité civile, [ci-après: Werro, RC], n. 899; Brehm, La responsabilité civile automobile, [ci-après: Brehm, RC], nn. 10 ss). Selon l'art. 58 al. 1 LCR, si, par suite de l'emploi d'un véhicule automobile, une personne est tuée ou blessée ou qu'un dommage matériel est causé, le détenteur est civilement responsable. Par cette disposition, la loi instaure une responsabilité causale, qui tend à protéger les lésés contre les risques spécifiques liés à l'emploi des véhicules à moteur, en raison de leur masse et de leur vitesse (ATF 111 II 89 consid. 1a, rés. in JdT 1985 I 413). Cette responsabilité objective aggravée déroge au principe de la responsabilité de l'art. 41 CO, en ce sens qu'elle est engagée même sans faute ni manque de diligence de l'utilisateur du véhicule (Werro, RC, op. cit., n. 901; Brehm, RC, op. cit., nn. 5, 8 et 122).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RC, op. cit., n. 902; Bussy/Rusconi et alii, op. cit., n. 1.2 ad art. 58 LCR). S'agissant du dommage, l'art. 58 al. 1 LCR limite la réparation aux conséquences résultant de la mort ou de lésions corporelles du lésé (dommage corporel) ainsi qu'aux conséquences résultant de l'endommagement, la destruction ou la perte d'un bien (dommage matériel), la réparation d'un dommage économique pur étant exclue (Rey, Ausservertragliches Haftpflichtrecht, n. 1272; Werro, RC, op. cit., n. 905; Brehm, RC, op. cit., nn. 211, 215 et 216). Par lésion corporelle, il faut entendre toute atteinte à la santé physique ou à la santé mentale de la victime (TF 2C.2/2000 du 4 avril 2003 consid. 3; Brehm, La réparation du dommage corporel en responsabilité civile, [ci-après: Brehm, Dommage corporel], n. 410). Concernant la condition du lien de causalité, la responsabilité du détenteur d'un véhicule est engagée, en vertu de l'art. 58 al. 1 LCR, du seul fait que l'emploi du véhicule est en relation de causalité avec le dommage, ce lien devant être naturel et adéquat (ATF 95 II 344 consid. 6;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rés. in JdT 2009 I 47 et les arrêts cités).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rés. in JdT 2009 I 47; ATF 133 III 81 consid. 4.2.2, rés. in JdT 2007 I 309 et les références citées; Werro, RC, op. cit., n. 258).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consid. 4.1, JdT 2005 I 472; ATF 123 III 110 consid. 3a, JdT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consid. 4.1, JdT 2005 I 472 et les références citées). L'exigence d'un rapport de causalité adéquate constitue une clause générale et son existence doit être appréciée de cas en cas par le juge selon les règles du droit et de l'équité, conformément à l'art. 4 CC (Code civil suisse du 10 décembre 1907; RS 210); il s'agit de déterminer si un dommage peut être équitablement imputé à l'auteur d'un acte illicite ou à celui qui en répond en vertu d'un contrat ou de la loi (ATF 123 III 110 consid. 3a, JdT 1997 I 791 et les références citées). Il n'y aura rupture du lien de causalité adéquate, l’enchaînement des faits perdant alors sa portée juridique, que si une autre cause concomitante, par exemple le comportement de la victime, une prédisposition constitutionnelle du lésé, le fait d’un tiers ou la force majeure, constitue une circonstance tout à fait exceptionnelle ou apparaît si extraordinaire que l’on ne pouvait pas s’y attendre.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JdT 2005 I 548; ATF 130 III 182 consid. 5.4, JdT 2005 I 3). Selon les circonstances, un état maladif antérieur peut être pris en compte dans le cadre de la fixation du dommage et d'une réduction de l’indemnité. En effet,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(ATF 131 III 12 consid. 4 appliquant ces principes à un accident de circulation; ATF 113 II 86 consid. 1b, JdT 1987 I 442; TF 4C_415/2006 du 11 septembre 2007 consid.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(sur ce dernier point cf. ATF 102 II 33 consid. 3c).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La distinction présente une importance pratique en matière de droit préférentiel du lésé, qui tend à prémunir celui-ci contre les suites défavorables d'un dommage non couvert (ATF 131 III 12 consid. 4; ATF 113 II 86 précité consid. 3b; TF 4C_415/2006 précité consid. 3.2). L'art.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qui font apparaître comme inéquitable la prise en charge de la totalité du dommage par le responsable, comme par exemple une disproportion manifeste entre la cause fondant le dommage et l'importance du préjudice ou la très faible gravité de la faute du responsable (TF 4A_45/2009 consid. 4.2.1 ; TF 4C.415/2006 précité consid. 3.2 in fine ; TF 4C.416/1999 du 22 février 2000 consid. 2c/aa, reproduit in Pra 2000 n. 154 pp. 920 ss spéc. pp. 922 ss). En revanche, une simple vulnérabilité psychique de la victime ne devrait pas constituer un facteur de réduction (TF 4C.75/2004 consid. 4.3.2 et TF 4C.215/2001). b) aa) En l'espèce, il est établi que le demandeur a été victime, le 21 janvier 2002, d'un accident causé par [...] alors au volant d'un véhicule. Il ne fait pas de doute que cet événement est en relation de causalité naturelle avec les problèmes médicaux subis par le demandeur qui a dû être héliporté et hospitalisé. Sans cet accident, le demandeur, qui n’a commis aucune faute, n'aurait en effet pas été atteint dans sa santé. Heurter un enfant de huit ans et demi avec un véhicule circulant à une vitesse de 30 km/h était en effet de nature à causer les problèmes médicaux qu'il a alors subis, soit les fractures crâniennes (calotte crânienne occipitale gauche et rocher gauche clinique), les contusions hémorragiques (avec perte de substance au niveau frontal et temporal de l’hémisphère droit), les lésions axonales diffuses et le traumatisme crânio-cérébral sévère. L’essentiel des séquelles a consisté en troubles neuropsychologiques, en particulier au niveau mnésique, attentionnels et exécutifs, soit des difficultés de concentration, un trouble de l’attention, un fléchissement de la mémoire, des dysfonctions exécutives, une lenteur accrue, un défaut de flexibilité mentale et des troubles du comportement (agitation, impulsivité, difficulté à gérer les émotions et régression). Il ressort de l'état de fait que le demandeur avait déjà des problèmes de santé avant l'accident du 21 janvier 2002. Il souffrait en effet d'un retard du développement, notamment du langage, qui nécessitait un suivi pédopsychiatrique et logopédique, ainsi que d'une affection congénitale ophtalmique, qui ont justifié une prise en charge par l'assurance-invalidité et une scolarisation spécialisée. Cela n'est pas remis en cause par le demandeur. Les lésions post traumatiques, typiques d'un traumatisme crânio-cérébral, se sont ainsi ajoutées aux difficultés d’apprentissages pré-existantes du demandeur et en ont limité le potentiel évolutif tel qu’il existait avant l’accident, dès lors que sa ligne de progression s’est infléchie à cause du traumatisme subi. Avec ce double handicap, l’écart constaté par rapport à la norme a même continué à augmenter. Il n’existe aucun facteur étranger autre que le traumatisme et ses séquelles pour expliquer l’augmentation des difficultés du demandeur. En outre, les lésions frontales subies et les troubles neuropsychologiques ont rendu les traitements plus difficiles et moins efficaces. L'expert judiciaire Dr Charles-Antoine Haenggeli a relevé trois catégories de handicaps dont souffre le demandeur: des troubles développementaux et des apprentissages (dyslalie, dysphasie, dyslexie, dysorthographie et dyscalculie), des capacités cognitives globales à la limite inférieure ou carrément inférieures aux normes, et des troubles neuropsychologiques. Les deux premiers étaient présents avant l'accident, alors que les troubles neuropsychologiques sont des séquelles du traumatisme crânio-cérébral sévère dû à l'accident. L'expert judiciaire Raymond Bossy a confirmé que le demandeur présentait une dysphasie et des troubles de l'apprentissage avant l'accident, difficultés qui ne peuvent dès lors être mises sur le compte de cet événement. En revanche, l'accident a ajouté de nouveaux troubles cognitifs, typiques pour les troubles crânio-cérébraux et cohérents avec les lésions cérébrales constatées, à savoir des troubles exécutifs, mnésiques, praxiques et attentionnels. L'expert a précisé que ces séquelles cognitives post traumatisme crânio-cérébral passent au premier plan vis-à-vis des troubles phasiques du demandeur. Dès lors, si le demandeur était atteint dans sa santé déjà avant l'accident, cet événement a aggravé sa situation. Le traumatisme crânio-cérébral a engendré une nouvelle problématique constituée par les troubles neuropsychologiques post traumatiques. L'accident est donc en relation de causalité naturelle et adéquate avec les troubles neuropsychologiques dont souffre le demandeur et l'invalidité qui en résulte. Les conséquences résultant du traumatisme crânio-cérébral subi du fait de l'accident ne seraient dès lors pas survenues indépendamment du comportement de [...]. En outre, il n'y a pas eu, dans la chaîne causale, que ce soit individuellement ou dans leur cumul, d'autres circonstances à ce point exceptionnelles qui auraient interrompu le lien de causalité entre l'accident et l'état de santé aggravé du demandeur. [...] est ainsi entièrement responsable de l’accident du 21 juin 2002 dont les conséquences ont directement affecté le demandeur dans sa santé. Quant à la défenderesse, dont il n'est pas contesté que sa responsabilité est engagée en sa qualité d'assurance responsabilité civile du conducteur du véhicule impliqué, elle a elle-même admis sa responsabilité entière pour le dommage subi par le demandeur en rapport avec l'accident du 21 janvier 2002. Les parties sont convenues que le litige portait exclusivement sur le dommage et l'indemnité pour tort moral du demandeur. bb) S'agissant de l'invalidité du demandeur, la Dresse Roulet, qui n'avait pas vu le demandeur avant l'accident, a estimé qu'un tiers des problèmes actuels du demandeur sont préexistants à l'accident et deux tiers en sont la conséquence. L'expert judiciaire Haenggeli a, lui, estimé qu'au vu de l'évolution avant et après l'accident, et au vu des difficultés dues aux troubles développementaux ainsi qu'à celles dues aux troubles neuropsychologiques mises en évidence, l'augmentation des difficultés du demandeur entraînée par le traumatisme est proche mais pas supérieure à 50%. Si l'expert judiciaire Bossy n'a pas chiffré son estimation, il a toutefois constaté que les séquelles cognitives post traumatisme crânio-cérébral passaient au premier plan par rapport aux troubles phasiques dans le cadre des difficultés rencontrées par le demandeur dans sa vie professionnelle ou dans sa vie quotidienne. On peut donc en déduire que selon l'expert judiciaire Bossy, plus de 50% des problèmes médicaux du demandeur sont dus au traumatisme causé par l'accident. En faisant la moyenne des estimations de ces trois professionnels, il apparaît que la proportion des complications médicales actuelles subies par le demandeur est due à 60% à l'accident et à 40% à ses problèmes de santé préexistants. Il convient dès lors de tenir compte de la part du préjudice liée à l'état de santé préexistant du demandeur dans l’ estimation de son dommage. VI. a) Le demandeur réclame la réparation de la perte de gain subie à la suite de l'accident du 21 janvier 2002. b) Aux termes de l'art. 62 al. 1 LCR, le mode et l'étendue de la réparation sont régis par les principes du code des obligations concernant les actes illicites, soit les art. 45 et 46 CO (Brehm, RC, op. cit., n. 212).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les arrêts cités).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ATF 129 III 135 consid. 2.2 et 2.3.2, JdT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JdT 2005 I 502;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consid.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consid. 2.1 et les références citées). La différence entre le revenu de valide (revenu hypothétique qui aurait pu être réalisé sans l'accident) et le revenu d'invalide (revenu qui peut être réalisé après l'accident) représente le dommage concret issu de l'incapacité de travail (TF 4C.252/2003 du 23 décembre 2003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consid. 3.1; ATF 129 III 135 consid. 2.2, JdT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consid. 5.1, JdT 2005 I 502; ATF 129 III 135 consid. 2.2, JdT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rés. in JdT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 Cette disposition est applicable à la fixation du dommage en matière de circulation routière (Brehm, RC, op. cit., nn.</w:t>
      </w:r>
    </w:p>
    <w:p>
      <w:r>
        <w:rPr>
          <w:b/>
        </w:rPr>
        <w:t>E. 16</w:t>
      </w:r>
    </w:p>
    <w:p>
      <w:r>
        <w:t>ss et les références citées). De plus, selon l'art. 243 CPC-VD, le juge apprécie librement la valeur et la portée des expertises, mais s'il statue contrairement aux conclusions d'une expertise, il est tenu de donner dans son jugement les motifs de sa conviction. Selon la jurisprudence, il ne saurait en outre, sans motifs déterminants, substituer son appréciation à celle de l'expert (ATF 130 I 337 consid. 5.4.2, JdT 2005 I 95; Bosshard, L'appréciation de l'expertise judiciaire par le juge, RSPC 2007, pp. 321 ss, spéc. p. 325 et les références citées). Par ailleurs, dans l'hypothèse où le juge est confronté à plusieurs expertises judiciaires et se rallie aux conclusions de l'une d'elles, il est tenu de motiver son choix (Bosshard, op. cit., p. 325 et la jurisprudence citée) . c) En l'espèce, il est établi que le 30 juin 2014, le demandeur a obtenu une attestation de formation professionnelle qui mentionne qu'il a réussi la procédure de qualification d'assistant du commerce de détail AFP, sous l'égide de l'ORIF. D'après l'expert judiciaire médical Bossy, le demandeur était tout proche de la moyenne pour pouvoir tenter un CFC de gestionnaire de commerce de détail ou dans un autre domaine. Sans ses séquelles neuropsychologiques post-traumatiques dues à l'accident, il aurait pu obtenir un CFC plutôt qu'une AFP. Il ressort de l'expertise que les troubles cognitifs post-traumatiques du demandeur sont en outre une entrave dans la recherche ainsi que le maintien d'un emploi qu'il ne pourra dans tous les cas pas gérer à un taux d'activité de 100%, pour lequel il ne pourra assumer que des responsabilités très limitées, et pour lequel il ne pourra obtenir qu’une rémunération en conséquence. Les séquelles du trouble crânio-cérébral dû à l’accident jouent donc un rôle négatif sur sa formation et sur ses performances professionnelles. Le fait quH.________, enseignante du demandeur durant l'année scolaire 2001-2002, a relevé qu'elle n'avait pas constaté de différences notables dans le comportement scolaire et social du demandeur après l'accident et qu'après trois semaines tout était redevenu normal, n'est pas un élément probant au regard des expertises judiciaires établies ultérieurement sur la base des nombreux rapports médicaux figurant au dossier. Il convient d'examiner quels sont les effets concrets des problèmes médicaux du demandeur sur sa capacité de gain, en tenant compte de ses capacités avant l’accident telles que déterminées par les experts médicaux. aa) Pour apprécier la perte de gain du demandeur, il s'agit d'établir premièrement les revenus auxquels celui-ci aurait pu prétendre sans la survenance de l'accident. A cette fin, on se fondera sur les revenus qu'il aurait pu tirer de son activité, alors au bénéfice d'un CFC dans le même domaine. Pour déterminer les conséquences pécuniaires de l'incapacité de travail, il convient ensuite de déduire du revenu hypothétique qui aurait pu être réalisé, le revenu d'invalide qui a été ou qui aurait raisonnablement pu être réalisé après l'accident. bb) Sans l'accident, le demandeur aurait très vraisemblablement obtenu un CFC dans le domaine du commerce de détail. Il convient donc de déterminer le revenu qu'il aurait réalisé à ce titre dès le 1 er juillet 2014. Il apparaît que le revenu perçu comme vendeur au bénéfice d'un CFC, mais sans fonction de cadre, dans le Canton de Vaud, s'élève à 4'360 fr. brut par mois pour un vendeur de</w:t>
      </w:r>
    </w:p>
    <w:p>
      <w:r>
        <w:rPr>
          <w:b/>
        </w:rPr>
        <w:t>E. 21</w:t>
      </w:r>
    </w:p>
    <w:p>
      <w:r>
        <w:t>ans sans année de service, à 4'410 fr. brut par mois pour un vendeur de 22 ans avec une année de service, à 4'460 fr. brut par mois pour un vendeur de 23 ans avec deux ans de service, à 4'510 fr. brut par mois pour un vendeur de 24 ans avec trois ans de service, à 4'560 fr. brut par mois pour un vendeur de 25 ans avec quatre ans de service et à 4'610 fr. brut par mois pour un vendeur de 26 ans avec cinq ans de service (Source des données: Enquête suisse sur la structure des salaires 2016 [secteur privé, activités de services administratifs et de soutien] ; calculs: roman-graf.ch). cc) S'agissant de la période du 1 er juillet 2014 au 30 septembre 2019, le demandeur aurait donc perçu, sans atteinte à sa santé, un montant de 52'320 fr. brut du 1 er juillet 2014 au 30 juin 2015, 52'920 fr. brut du 1 er juillet 2015 au 30 juin 2016, 53'520 fr. brut du 1 er juillet 2016 au 30 juin 2017, 54'120 fr. brut du 1 er juillet 2017 au 30 juin 2018, 54'720 fr. brut du 1 er juillet 2018 au 30 juin 2019 et 13'830 fr. brut du 1 er juillet 2019 au 30 septembre 2019. Afin de tenir compte de la couverture du risque vieillesse LPP (art. 7 al. 1 et 16 LPP; loi fédérale sur la prévoyance vieillesse, survivants et invalidité du</w:t>
      </w:r>
    </w:p>
    <w:p>
      <w:r>
        <w:rPr>
          <w:b/>
        </w:rPr>
        <w:t>E. 25</w:t>
      </w:r>
    </w:p>
    <w:p>
      <w:r>
        <w:t>juin 1982; RS 831.40), il convient de déduire 7% de cotisations du 1 er juillet 2014 au 31 décembre 2017 et 13% du 1 er janvier 2018 au 30 septembre 2019. Il aurait donc été en mesure d'obtenir un montant total net de 242'892 fr. 90 (163'940 fr. 40 + 78'952 fr. 50). La perte de gain nette passée du demandeur pour la période du 1 er juillet 2014 au 30 septembre 2019 s'élève donc à 13'100 fr. 40 ( 255'993 fr. 30 - 242'892 fr. 90). dd) S'agissant de la perte de gain future du demandeur, il convient de capitaliser le salaire annuel net que le lésé aurait touché sans l’invalidité due à l’accident au jour du jugement et d'en déduire la valeur capitalisée du revenu exigible de sa part. Selon la jurisprudence constante du Tribunal fédéral, la capitalisation s'effectue, pour l’atteinte à l’avenir économique, selon un taux de capitalisation de 3,5 % (ATF 125 III 312 consid. 7; TF 4A_543/2015 et 4A_545/2015 du 14 mars 2016 consid. 6).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65 ans pour un homme (art. 21 al. 1 let. a LAVS [loi fédérale sur l'assurance-vieillesse et survivants du 20 décembre 1946; RS 831.10]). Il n’y a pas lieu de tabler de façon générale, pour le futur, sur une augmentation réelle des revenus, que ce soit sous la forme d’une réduction du taux de capitalisation de 1%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TF 4C.415/2006 consid. 4.4.4; ATF 125 III 312 consid. 5, JdT 2000 I 374). Il convient en revanche de tenir compte du renchérissement futur, celui-ci étant toutefois entièrement compensé par le taux de capitalisation de 3,5% (ATF 125 III 317 précité). Ainsi, pour la capitalisation des gains futurs du demandeur, il y a lieu de se fonder sur un revenu sans invalidité au jour du présent jugement de 48'128 fr. 40 net par an (4'610 fr. brut x 12 mois – 13% de cotisations), arrêté conformément aux considérations qui précèdent. On capitalisera ce salaire annuel net en appliquant un facteur de capitalisation de 20.71, tel qu'il découle de la table de capitalisation A3x ("rente temporaire d'activité jusqu'à l'âge de 65 ans") des tables et programmes de capitalisation de Stauffer/Schaetzle/Weber ( cf. Stauffer/Schaetzle/Weber, Tables et programmes de capitalisation, 6 e éd., Zurich – Bâle – Genève 2013 ), au vu de l'âge du demandeur au jour du présent jugement et du taux de capitalisation de 3,5% applicable selon la jurisprudence constante du Tribunal fédéral. Cela étant, en multipliant le revenu annuel déterminant de 48'128 fr. 40 par le facteur de 20.71 retenu ci-dessus, l'on obtient un revenu futur sans l’invalidité due à l’accident jusqu'à l'âge de la retraite du demandeur d'un montant de 996'739 fr. 16. Aux fins de déterminer l’éventuelle perte de gain future, il convient d'imputer sur ce revenu le salaire exigible durant la même période, soit 944'848 fr. 18 (45'622 fr. 80 net par année [soit 4'370 x 12 – 13%] x 20.71). Le demandeur subit donc une perte de gain future de 51'890 fr. 98. ee) Le tiers civilement responsable répond de la réduction future des prestations que les assurances sociales accorderont au lésé.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qui seront versées par les assurances sociales (AVS, LAA, LPP) avec les prestations de vieillesse que le lésé toucheraient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déterminante (pour le tout cf. TF 4C.197/2001 précité consid. 4b et les références citées). Afin de déterminer le montant des prestations de vieillesse que le demandeur obtiendraient sans l'accident, il convient de multiplier le revenu annuel brut hypothétique du demandeur à 65% (55'320 fr. x 65%, soit 35'958 fr.) par le facteur de capitalisation de 3.59, tel qu'il découle de la table de capitalisation M4x ("rente viagère différée dès l'âge de 65 ans - hommes") des tables et programmes de capitalisation de Stauffer/Schaetzle/Weber ( cf. Stauffer/Schaetzle/Weber, op. cit. ). Ces prestations de vieillesse s'élèveraient ainsi à 129'089 fr. 22. En l'occurrence, elles s'élèveront à 122'368 fr. 74 ([4'370 fr. brut x 12 mois] x 65%, multiplié par 3.59). Le demandeur subit donc une perte sur ses rentes vieillesse futures de 6'720 fr. 48. VII. a) Le demandeur prétend au versement par la défenderesse d'un montant de 60'000 fr. au titre de frais de surveillance et d'aide de ses parents. Il fait application de l'art. 42 al. 2 CO et estime que ses parents lui ont consacré une heure par jour sur deux cents jours par an pendant dix ans du fait de ses séquelles. La défenderesse conteste le droit du demandeur à ce montant en faisant notamment valoir qu'il ne s'agit pas d'un dommage direct. b) Selon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Notre Haute Cour a admis, dans un arrêt 97 II 259, que les frais relatifs aux soins donnés au lésé à son domicile par un proche, au détriment de l’activité professionnelle de ce dernier, étaient indispensables et constituaient sans conteste un élément du dommage dont répondait l’assurance RC, peu importe que ces soins aient été prodigués par un membre de la famille de la victime. Cette circonstance était au contraire de nature à réduire le dommage. S’agissant des visites de parents après un accident, le Tribunal fédéral a relevé qu’elles relevaient de leurs devoirs moraux et que les frais y relatifs ne constituaient en principe pas un dommage du lésé. Toutefois lors d'accidents graves, l'intervention de proches peut néanmoins s'avérer indispensable pour la détermination, voire le succès du traitement médical, ou encore pour préserver la victime d'une aggravation de son état. Une telle intervention peut alors constituer exceptionnellement une gestion d'affaires dans l'intérêt du lésé dont les frais incombent au responsable. Une indemnité destinée à couvrir ces frais peut donc être allouée à la victime. c) En l'espèce, l'expert judiciaire médical Haenggeli a constaté dans son rapport du 21 décembre 2009 que les frais scolaires ainsi que les traitements de logopédie, psychomotricité et ergothérapie étaient pris en charge par l'AI. En revanche, l'engagement d'un répétiteur, nécessaire dans le cas du demandeur pendant quatre heures par semaine (à concurrence de 32 fr. de l'heure) et de quarante semaines par année, soit à hauteur de 5'120 fr. par année, ne l'a pas été. Ce travail a été assumé par les parents du demandeur. L'expert a relevé que le temps passé par les parents à travailler avec celui-ci a toutefois largement dépassé les quatre heures hebdomadaires. Il ressort de l'ensemble du dossier que cette aide a dû être apportée dès l'accident en 2002 et jusqu'à l'obtention de son AFP le 30 juin 2014 à tout le moins, soit durant une période de douze ans. Si certains des troubles du demandeur étaient dus à son état antérieur à l'accident (40%) et qu'une partie du temps consacré par ses parents l'aurait dès lors également été sans l'accident, il convient toutefois de tenir compte du fait que l'expert a considéré que l'aide des parents avait été largement supérieure à quatre heures par semaine, si bien que les quatre heures de soin hebdomadaires réclamées en lien avec l'accident sont justifiées. Un montant de 60'000 fr. (12 ans x 5'000 fr.) doit donc être alloué à ce titre. VIII. a) Le demandeur conclut à l'allocation d'une indemnité pour le tort moral qu'il a subi à la suite de l'accident du 21 janvier 2002, indemnité qu'il chiffre à 70'000 fr. et qui englobe les prétentions de tort moral que ses parents lui ont cédées.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consid. 7.3;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nn. 160 ss).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nn. 1425 ss).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TF 4C.55/ 2006 du 12 mai 2006 consid. 5.2;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c) Le Tribunal fédéral a jugé à plusieurs reprises, tant en matière de responsabilité pour faute, selon l'art. 41 CO, qu'en matière de responsabilité causale, que la loi ne permettait d'allouer des dommages-intérêts qu'à la personne directement atteinte par l'acte illicite et que les tiers lésés indirectement et par ricochet ne bénéficiaient pas d'un tel droit (ATF 112 II 118 ; ATF 99 II 223 ; ATF 82 II 38 et les arrêts cités). En effet, par définition, le dommage réfléchi est un dommage purement économique, dans la mesure où la personne qui subit le dommage n'est pas celle qui subit l'atteinte (Werro, RC, op. cit., n. 137). Deux arrêts concernant la responsabilité consécutive à l'endommagement de conduites d'eau ou d'électricité ont atténué ou précisé la portée du principe jurisprudentiel selon lequel les tiers lésés indirectement ou par ricochet ne peuvent obtenir la réparation de leur préjudice. Le Tribunal fédéral a jugé que pour définir la personne directement lésée par l'acte illicite, il fallait se référer à la prescription violée par l'auteur de l'acte dommageable et rechercher si elle avait pour but de protéger le lésé dans les droits atteints par l'acte incriminé: si le lésé peut établir la violation d'une norme ayant pour but de le protéger directement, il doit être considéré comme un lésé immédiat ( ATF 101 Ib 255 consid. 2c et d); la question de savoir si l'on a affaire à un lésé direct ou indirect se recouvre avec celle de l'illicéité de l'acte incriminé ( ATF 102 II 89 consid. 6c). Appliquant ces principes, le Tribunal fédéral a considéré, dans le cas d'un incendie de forêt illicite, qu'une commune n'avait pas la qualité de lésée directe pour les frais que lui ont causés l'intervention de ses équipes de lutte contre le feu: le dommage issu de ces frais est un dommage exclusivement indirect; les prescriptions légales réprimant l'incendie n'ont pas, en plus de leurs propres buts, celui de protéger les collectivités publiques contre les pertes occasionnées dans l'accomplissement de la tâche d'intérêt public que constitue l'extinction des incendies ( ATF 104 II 98 consid. 2a et b). Jusqu'aux deux arrêts de 1975 et 1976 concernant les dommages causés à des conduites, la doctrine a presque unanimement approuvé ou pris acte, sans développements particuliers, du principe selon lequel seule la personne directement atteinte par l'acte illicite a la qualité de lésé pouvant prétendre à l'allocation de dommages-intérêts, alors que les tiers qui ne sont atteints qu'indirectement ou par ricochet ne bénéficient pas d'un tel droit. Les art. 45 al. 3 et 47 CO sont des exceptions au principe de la non-indemnisation du préjudice réfléchi. Les deux arrêts de 1975 et 1976 relatifs aux dommages causés à des conduites ont donné lieu à de nouvelles analyses de la doctrine au sujet de l'indemnisation du dommage réfléchi, tendant à déterminer les critères propres à délimiter le dommage donnant droit à réparation de celui qui ne peut pas être couvert (cf. en particulier TERCIER, La réparation du préjudice réfléchi en droit suisse de la responsabilité civile, in Gedächtnisschrift Peter Jäggi, Fribourg 1977, p. 239 ss, et GIOVANNONI, Le dommage indirect en droit suisse de la responsabilité civile, in RDS 96/1977 I, p. 31 ss; cf. aussi, entre autres, MERZ, in RJB 114/1978, p. 129-131 et in Schweizerisches Privatrecht VI/1, p. 190-192; KRAMER, "Reine Vermögensschäden" als Folge von Stromkabelbeschädigungen, in Recht 1984, p. 132 ss; TAUPITZ, Haftung für Energieleiterstörungen durch Dritte, Berlin 1981, p. 48-51; GUHL/MERZ/KUMMER, 7e éd., p. 165 s.; BREHM, Berner Komm., n. 17 ad art. 41 CO; avant les deux arrêts de 1975/76: DESCHENAUX, Norme et causalité en responsabilité civile, in Stabilité et dynamisme du droit dans la jurisprudence du Tribunal fédéral, Bâle 1975, p. 399 ss, notamment p. 416 ss; CAVIN, Le dommage indirect dans le droit de la responsabilité civile, in Revue générale des assurances terrestres 1975, p. 110-112). La solution à la question de l’indemnisation d'un dommage "indirect" - ou, plus précisément, d'un dommage réfléchi, appelé également dommage par ricochet ou dommage réflexe (Reflexschaden), soit d'un dommage subi par une tierce personne qui était en relation avec la victime de l'atteinte, ne peut être déduite que de l'examen des conditions de la responsabilité civile en cause, à la lumière des principes généraux du droit suisse de la responsabilité civile. La condition de l’illicéité est réalisée lorsque l'acte incriminé porte atteinte à un bien protégé par un droit absolu, tel que la vie, l'intégrité corporelle ou la propriété. L'ordre juridique protège directement ces droits, sans qu'il soit nécessaire de rechercher dans chaque cas si l'auteur du dommage a violé une injonction déterminée. La personne qui est elle-même victime d'une atteinte à un droit absolu, est donc directement lésée et peut demander réparation de son dommage à celui qui l'a causé. Peu importe à cet égard que la chaîne causale soit plus ou moins brève, que l'atteinte soit immédiate ou qu'elle frappe par contrecoup une personne qui était en relation avec la victime immédiate. En cas de dommage purement patrimonial, la condition de l'illicéité n'est remplie et la réparation n'est due, comme le Tribunal fédéral l'a jugé dans les deux arrêts cités, qu'en cas de violation d'une norme ayant pour but de protéger la victime dans les intérêts atteints par l'acte incriminé (ATF 112 II 118). Des parents subissent par exemple un choc émotionnel après avoir appris la mort de leur enfant dans un accident de la circulation routière. Le choc leur cause une incapacité de travail entraînant une perte de gain, un dommage ménager et un tort moral. Le Tribunal fédéral a considéré, dans ce cas (ATF 138 III 276, JdT 2012 I 270), que l'art. 58 LCR permet de fonder une prétention en responsabilité pour le préjudice propre des parents qui fait suite à un choc causé par un accident de la circulation routière subi par un proche. Toutefois, notre Haute Cour a par la suite limité la portée de cette jurisprudence (ATF 142 III 433, JdT 2016 II 347) en insistant sur l'exigence d'un lien de causalité adéquate. Il s'agissait d'un couple victime d'un accident de la circulation routière dont l'épouse avait subi de graves blessures et pour laquelle l'époux a fourni des prestations de soin et d'aide durant plusieurs semaines. En raison de ces multiples charges, l'époux a développé un trouble somatophore qui l'a empêché de travailler pendant un certain temps. Dans ce cas, le Tribunal fédéral a refusé toute prétention propre de l'époux en dommages-intérêts, estimant qu'on ne peut pas retenir un lien de causalité adéquate entre l'accident de circulation routière et le trouble somatophore. d) En l'espèce, il convient de prendre en considération le fait que la vie du demandeur a été gravement mise en danger par l’accident, les lésions qu’il a subies (otorragie gauche avec traumatisme crânio-cérébral, fractures crâniennes, contusions hémorragiques), son hospitalisation aux soins intensifs, l'aggravation de son état de santé, la faute lourde du conducteur, le trouble causé à la vie familiale du lésé, les limitations professionnelles engendrées par l'accident (formation, obtention d'un poste, taux d'activité, responsabilités, diminution des chances de garder un emploi fixe, rémunération en conséquence), ainsi que les troubles du comportement engendrés (agitation, impulsivité, difficulté à gérer les émotions et régression) qui ont sans conteste des conséquences sur sa personnalité et sur sa capacité à nouer des contacts sociaux. Au vu des éléments qui précèdent, il apparaît équitable d'allouer au demandeur une indemnité pour tort moral d'un montant de 25'000 francs. En revanche, rien n'est dû aux parents du demandeur à ce titre. S'ils ont signé le 2 juillet 2008 un acte de cession par lequel ils déclaraient céder au demandeur toutes leurs prétentions en tort moral concernant l'accident litigieux, l'acte incriminé n'a pas porté atteinte à un de leurs biens protégés par un droit absolu, tel que la vie, l'intégrité corporelle ou la propriété, et il n'y a pas eu violation d'une norme déterminée qui protégeait leurs intérêts directs. IX. a) Le demandeur réclame le remboursement de la note d'honoraires de son conseil pour les démarches effectuées avant le procès, soit du 12 février 2004 au 14 juillet 2008, pour un montant de 16'000 francs. b) 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La partie qui exige le remboursement de ses frais d’avocat avant procès doit exposer de manière étayée, c’est-à-dire exposer les circonstances qui justifient que les dépenses effectuées doivent être considérées à l’aune du droit de la responsabilité civile comme un poste du dommage, et par conséquent qu’ils étaient justifiés, nécessaires, adéquats pour obtenir l’exécution de la créance et qu’ils ne sont pas couverts par les dépens définis par la procédure cantonale (TF 4A_264/2015 du 10 août 2015 et réf. cit.; ATF 131 II 121 consid. 2.1, rés. in JdT 2006 IV 215; TF 4C.194/2002 du 19 décembre 2002; SJ 2001, p. 153; ATF 117 II 394 consid. 3a, JdT 1992 I 550; ATF 117 II 101 consid. 5, JdT 1991 I 712). On relèvera encore que sauf exception (cf. art. 45 al. 2 LPGA [loi fédérale sur la partie générale du droit des assurances sociales du 6 octobre 2000, entrée en vigueur le 1 er janvier 2003; RS 830.1], applicable en vertu de l’art. 1 al. 1 LAI [loi fédérale sur l’assurance-invalidité du 19 juin 1959; RS 831.20]), la procédure devant l’assureur social et la procédure d’opposition n’ouvrent pas le droit à des dépens (cf. art. 52 al. 3 LPGA). c) En l’espèce, le demandeur a produit, à l'appui de sa demande, une note d'honoraires de son conseil du 10 juillet 2008 à hauteur de 30'000 fr. TTC pour les "opérations du 01.07.2003 à ce jour", sans alléguer d'autres éléments. Il n'est donc pas fait mention d'une quelconque indication de la procédure concernée par dites opérations, soit s'il s'agit de démarches effectuées devant l'assureur social ou de démarches relatives à la procédure en responsabilité civile, ni du genre de prestations, ni de leurs dates, ni de leurs durées. Ce n'est qu'à l'appui de son mémoire de droit qu'il a fourni six notes d'honoraires établies entre les 12 février 2004 et 14 juillet 2008, avec le détail des opérations effectuées, leurs dates et leurs durées. Or, cette production, dont le détail n'a pas été allégué ni prouvé en amont, est tardive. Il ne peut dès lors en être tenu compte. Au vu de ce qui précède, aucun montant ne peut être alloué au demandeur à ce titre. X. a) Le dommage comprend l'intérêt, dit compensatoire, du capital alloué à titre d'indemnité. L'intérêt est dû par celui qui est tenu de réparer le dommage causé à autrui, à partir du moment où ce préjudice est intervenu (Tercier, Le droit des obligations, 5e éd., n. 1117;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consid. 9.1, JdT 2005 I 488, SJ 2005 I 113 et les arrêts cités). Le taux d'intérêt forfaitaire retenu par la jurisprudence par application analogique de l'art. 73 CO est de 5% (ATF 131 III 12 consid. 9.4 et 9.5, JdT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(Werro, RC, op. cit., n. 1279; Brehm, Dommage corporel, op. cit., nn. 752 ss). La pratique de la Cour civile retient la date de l'accident. b) En l'occurrence, les montants suivants sont dus au demandeur: - 13'100 fr. 40, avec intérêt à 5% l'an dès le 14 février 2017, échéance moyenne, au titre de perte de gain passée; - 51'891 fr., avec intérêt à 5% l'an dès le 1 er octobre 2019, au titre de perte de gain future; - 6'720 fr. 50, avec intérêt à 5% l'an dès le 1 er octobre 2019, au titre de perte sur les rentes; - 60'000 fr., avec intérêt à 5% l'an dès le 1 er octobre 2019, au titre de frais de surveillance et d'aide des parents; - 25'000 fr., avec intérêt à 5% l'an dès le 21 janvier 2002, au titre d'indemnité pour tort moral. Il convient toutefois de déduire de ces montants les acomptes versés à hauteur de 30'000 fr. par la défenderesse. XI .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gain de cause sur le principe d'une indemnisation, mais succombant sur les conclusions chiffrées prises à l'encontre de la défenderesse, le demandeur a droit à des dépens de 43'831 fr. 40, savoir : a) 25'000 fr. à titre de participation aux honoraires de son conseil; b) 1'250 fr. pour les débours de celui‑ci; c) 17'581 fr. 40 en remboursement de son coupon de justice. * * * * * Par ces motifs, la Cour civile, statuant à huis clos, prononce : I . La défenderesse N.________ SA doit payer au demandeur A.F.________ la somme de 156'711 fr. 90 (cent cinquante-six mille sept cent onze francs et nonante centimes), plus intérêts, selon décompte suivant : - 13'100 fr. 40 (treize mille cent francs et quarante centimes), avec intérêt à 5% l'an dès le 14 février 2017; - 51'891 fr. (cinquante et un mille huit cent nonante et un francs), avec intérêt à 5% l’an dès le 1 er octobre 2019 ; - 6'720 fr. 50 (six mille sept cent vingt francs et cinquante centimes), avec intérêt à 5% l’an dès le 1 er octobre 2019 ; - 60'000 fr. (soixante mille francs), avec intérêt à 5% l'an dès le 1 er octobre 2019; - 25'000 fr. (vingt-cinq mille francs), avec intérêt à 5% l’an dès le 21 janvier 2002; sous déduction des montants déjà versés pour une somme de 30'000 fr. (trente mille francs), plus intérêts, selon décompte suivant: -              20'000 fr. (vingt mille francs), valeur au 18 décembre 2007 ; -              10'000 fr. (dix mille francs), valeur au 1er avril 2009. II. Les frais de justice sont arrêtés à 17'581 fr. 40 (dix-sept mille cinq cent huitante et un francs et quarante centimes) pour le demandeur et à 14'160 fr. 85 (quatorze mille cent soixante francs et huitante-cinq centimes) pour la défenderesse. III. La défenderesse versera au demandeur le montant de 43'831 fr. 40 (quarante-trois mille huit cent trente et un francs et quarante centimes) à titre de dépens. IV. Toutes autres ou plus amples conclusions sont rejetées. La présidente :              La greffière : C. Kühnlein              M. Bron Du Le jugement qui précède, dont le dispositif a été communiqué aux parties le</w:t>
      </w:r>
    </w:p>
    <w:p>
      <w:r>
        <w:rPr>
          <w:b/>
        </w:rPr>
        <w:t>E. 27</w:t>
      </w:r>
    </w:p>
    <w:p>
      <w:r>
        <w:t>septembre 2019, lu et approuvé à huis clos, est notifié, par l'envoi de photocopies, à leurs conseils respectifs.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