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372 vom 26. April 2023</w:t>
      </w:r>
    </w:p>
    <w:p>
      <w:r>
        <w:t>VD Tribunal cantonal, 2023-04-26, FR</w:t>
      </w:r>
    </w:p>
    <w:p>
      <w:r>
        <w:rPr>
          <w:b/>
        </w:rPr>
        <w:t xml:space="preserve">Quelle: </w:t>
      </w:r>
      <w:r>
        <w:t>https://mcp.opencaselaw.ch/entscheid/vd_findinfo_372___________</w:t>
      </w:r>
    </w:p>
    <w:p>
      <w:r>
        <w:t>FR: VD_FINDINFO 372 du 26 avril 2023</w:t>
      </w:r>
    </w:p>
    <w:p>
      <w:r>
        <w:t>IT: VD_FINDINFO 372 del 26 aprile 2023</w:t>
      </w:r>
    </w:p>
    <w:p>
      <w:pPr>
        <w:pStyle w:val="Heading2"/>
      </w:pPr>
      <w:r>
        <w:t>Regeste</w:t>
      </w:r>
    </w:p>
    <w:p>
      <w:r>
        <w:t>REMISE À DES ENFANTS DE SUBSTANCES POUVANT METTRE EN DANGER LEUR SANTÉ, ACTE D'ORDRE SEXUEL AVEC UN ENFANT, CONTRAINTE SEXUELLE, VIOL, PORNOGRAPHIE, CONDUITE SANS AUTORISATION, EXPULSION{DROIT PÉNAL} | 136 CP, 187 ch. 1 CP, 189 al. 1 CP, 190 al. 1 CP, 197 ch. 1 CP, 95 al. 1 let. a LCR</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V.________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L’appelant ne conteste plus que sa condamnation pour pornographie en lien avec les faits décrits au chiffre 2.3 de l’acte d’accusation (cf. ch. 2.3 supra), à l’exclusion de toutes les autres infractions retenues à son encontre. Il reproche aux premiers juges de ne pas avoir appliqué le même raisonnement que celui qui les avait conduit à l’acquitter de cette infraction concernant les faits décrits aux chiffres 2.4 et 5 de l’acte d’accusation. Il remet en doute la crédibilité du témoin K.________ et se prévaut d’une violation du principe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3.1.2</w:t>
      </w:r>
    </w:p>
    <w:p>
      <w:r>
        <w:t>L'art. 197 al. 1 CP prévoit que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L'art. 197 ch. 1 CP réprime toute pornographie envers les enfants, qu'elle soit douce ou dure (FF 1985 II 1106 ; cf. ATF 128 IV 262 consid. 2.1 ; ATF 121 IV 116 consid. b). Il suffit dès lors, pour être dans le champ d'application de l'art. 197 al. 1 CP, qu'il y ait une représentation d'une sexualité normale, telle qu'elle est pratiquée par une grande partie de la population (ATF 117 IV 462 consid. b).</w:t>
      </w:r>
    </w:p>
    <w:p>
      <w:r>
        <w:rPr>
          <w:b/>
        </w:rPr>
        <w:t>E. 3.2</w:t>
      </w:r>
    </w:p>
    <w:p>
      <w:r>
        <w:t>En l’espèce, les premiers juges ont retenu que l’appelant avait admis avoir reçu une tablette de la part de son employeur, tablette qu’il aurait par la suite offerte à sa mère qui serait repartie avec en Roumanie. Il ressortait en outre de l’instruction que l’appelant ne travaillait pas seulement à l’alpage et qu’il avait dès lors pu charger sur une tablette des films pornographiques lorsqu’il descendait dans la vallée où il pouvait profiter d’un réseau de téléphonie mobile ou du wifi. Les premiers juges ont également tenu compte du témoignage détaillé et précis de K.________, relevant que ce dernier n’avait aucun motif pour inventer les faits décrits et pour accuser l’appelant. Ils ont estimé que l’absence de souvenir de cet épisode par C.________ pouvait s’expliquer par le fait que l’appelant lui avait fait subir des faits bien plus graves, ce qui confirmait encore la crédibilité de la plaignante dans ses mises en cause de l’appelant (cf. jgmt, p. 64). Cette appréciation ne prête pas le flanc à la critique et doit être confirmée. En effet, Il n’est pas déterminant en soi que la plaignante C.________ ne se souvienne pas de cet épisode, compte tenu de la gravité des autres faits dénoncés – en particulier les nombreux viols qu'elle a subis – et qui ne sont plus contestés à ce stade. On constate également que le témoin, K.________ qui a plus ou moins le même âge que la plaignante C.________ et qui passait aussi ses étés à l'alpage, a spontanément dénoncé les faits. Il n'a par ailleurs pas chargé l'appelant et sa crédibilité n'est pas sujette à caution ; il a en effet parfaitement pu dire ce dont il se souvenait et ce qui était plus flou. S'agissant du visionnage du film pornographique, il a déclaré « Un épisode en particulier m'est revenu. Un soir, il [V.________] regardait du porno devant C.________. J'ai trouvé cela un peu bizarre au vu du jeune âge de la victime » (...) « C'était dans la cuisine et il était relativement tard. Les grands-parents de C.________ devaient déjà être au lit » (PV aud. 14, R. 6). S’agissant du contenu du film, le témoin a expliqué ce qui suit : « Pour vous répondre, il s'agissait d'une femme qui se stimulait sur la vidéo » (PV aud. 14, R. 6). Le témoin a livré d'autres détails concernant l'événement qui est ancré dans la réalité. S'agissant de la présence d'un certain [...] ou du fait qu'il s'agisse de la tablette de la grand-mère de la plaignante, le témoin explique qu’il n'en est pas sûr si bien que l'appelant ne peut pas en faire des arguments disculpatoires. En outre, c’est en vain que l’appelant se prévaut de sa libération pour les faits décrits aux chiffres 2.4 et 5 de l’acte d’accusation. On constate en effet que les premiers juges ont tenu ces faits pour établis compte tenu des témoignages de Z.________ et de [...] . Si l’appelant a été libéré, c’est au motif que, s’agissant de la photographie envoyée par l’appelant à Z.________ (cf. chiffre 2.4 de l’acte d’accusation), elle ne présentait pas un caractère pornographique car l’image en question montrait l’appelant nu sous la douche mais son sexe – certes bien que visible – n’était pas en érection (cf. jgmt, p. 65). S’agissant des deux images retrouvées dans le téléphone portable de l’appelant – parmi 6'000 images trouvées dans la mémoire de l’appareil – représentant un gros plan de fesses et un sexe féminin dépourvu de pilosité (cf. chiffre 5 de l’acte d’accusation), il n’était pas possible d’affirmer que les jeunes femmes représentées sur ces photographies étaient mineures (cf. jgmt, p. 69). Comme les premiers juges, la Cour de céans considère que pour le cas 2.3 de l’acte d’accusation, le caractère pornographique de l’acte sexuel décrit par le témoin K.________ est indiscutable de sorte que les conditions d’application de l’art. 197 al. 1 CP sont manifestement réalisées. Par ailleurs, et comme l’ont relevé les premiers juges, s'il n'y a pas internet à [...], il y en a à [...] où l'appelant se rendait. Enfin, cette infraction de bien moindre gravité que l’ensemble des autres infractions retenues à charge de l’appelant, s’inscrit parfaitement dans sa ligne comportementale. Compte tenu de l’ensemble des éléments qui précèdent, la condamnation de l’appelant pour pornographie doit être confirmée pour les faits décrits au chiffre 2.3 de l’acte d’accusation. 4. L’appelant ne conteste pas explicitement la peine infligée, soit une peine privative de liberté de six ans. Il convient toutefois de l’examiner d’office.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4.2 En l’espèce, la culpabilité de l’appelant telle que retenue par les premiers juges est intégralement confirmée. Il s’est ainsi rendu coupable de nombreux actes d'ordre sexuel et de quinze viols à l’encontre de C.________ alors âgée de 11 à 14 ans (cf. ch. 2.1 supra), de remise à des enfants de substances pouvant mettre en danger leur santé (cf. ch. 2.2 supra), de pornographie (cf. ch. 2.3 supra), de deux viols (cf. ch. 2.5 supra) et d’actes d’ordre sexuels à l’encontre de N.________ qui était alors âgée de 15 ans (cf. 2.6 supra) et enfin de conduite sans autorisation (cf. ch. 2.7 supra). L a culpabilité de V.________ est particulièrement lourde. Il s'en est pris de façon gravissime à trois jeunes filles de très jeune âge. Il a fait preuve d'une absence totale de scrupule pour satisfaire ses pulsions sexuelles. Il s'en est pris à sa deuxième victime, N.________, juste après sa rupture avec une compagne dont il a eu deux garçons. Ses aveux partiels et tardifs ne dénotent pas d'une réelle prise de conscience. Il a persisté à nier les faits les plus graves encore à l’audience d’appel et alors que les infractions n’étaient plus contestées. Il y a une disproportion évidente des forces entre lui, 35 ans, expérimenté, et ses victimes, âgées de maximum 15 ans. Il y a concours dès lors que V.________ est en particulier reconnu coupable d'au moins 15 viols sur C.________ et de deux viols sur N.________. La Cour de céans considère que les agissements sexuels envers C.________ sont les plus graves. Le premier viol, mérite à lui seul une peine de deux ans et demi. La réitération des actes justifie une peine supplémentaire de deux ans, alors que les contraintes sexuelles doivent être sanctionnées par six mois et la pornographie par trois mois. Viennent ensuite les deux viols commis sur une autre victime, qui doivent être sanctionnés, par l'effet du concours, de deux ans pour le premier, la réitération de l’acte justifiant une peine supplémentaire de un an. La contrainte sexuelle commise à l'encontre de Z.________ doit être sanctionnée par six mois supplémentaires. Ainsi, les seules infractions sexuelles justifient une peine supérieure à 8 ans. Devraient encore être sanctionnées la pornographie, la mise à disposition de substances nocives et l’infraction à la LCR. Au vu de l’interdiction de la reformatio in pejus , la Cour d’appel pénale se dispense de comptabiliser l’ensemble des peines supplémentaires qu’il eut fallu additionner et souligne l’extrême clémence dont a pu bénéficier l’appelant, sans y adhérer. Il convient ainsi de confirmer la peine privative de liberté de six ans prononcée par les premiers juges. 5. L’appelant ne conteste pas la mesure d’expulsion du territoire suisse prononcée à son encontre pour une durée de 12 ans, ni l’interdiction faite à vie d’exercer toute activité professionnelle et non professionnelle organisée impliquant des contacts réguliers avec des mineurs. Ces mesures seront dès lors confirmées. 6. 6.1 Conformément à l’art. 51 CP, la détention subie depuis le jugement de première instance sera déduite de la peine privative de liberté prononcée. 6.2 Pour garantir l’exécution de la peine et de l’expulsion et au vu notamment du risque de fuite présenté par l’intéressé, le maintien de l’appelant en détention pour des motifs de sûreté doit être ordonné.</w:t>
      </w:r>
    </w:p>
    <w:p>
      <w:r>
        <w:rPr>
          <w:b/>
        </w:rPr>
        <w:t>E. 7</w:t>
      </w:r>
    </w:p>
    <w:p>
      <w:r>
        <w:t>En définitive, l’appel de V.________ doit être rejeté et le jugement entrepris intégralement confirmé. Me Rachel Rytz, défenseur d’office de V.________, a produit une liste d’opération (P. 143) faisant état d’une activité nécessaire d’avocat de 9.6 heures, ce qui peut être admis au vu des écritures et de la nature du dossier. Au tarif de 180 fr. applicable à l’avocat breveté (cf. art. 2 al. 1 let. a RAJ [règlement sur l’assistance judiciaire en matière civile ; BLV 211.02.3]), les honoraires s’élèvent à 1'780 fr., montant auxquels s’ajoutent des débours forfaitaires, par 34 fr. 55, une vacation de 120 fr. et la TVA sur le tout, par 144 fr. 95. C’est ainsi une indemnité d’office de 2'027 fr. 50 qui sera allouée à Me Rytz pour la procédure d’appel. Il n’y a en outre pas lieu de s’écarter de la liste d’opérations produite par Me Dorothée Raynaud, conseil d’office de la plaignante C.________ (P. 144) alléguant avoir consacré 9 heures à ce mandat. Au tarif horaire de 180 fr., les honoraires s’élèvent à 1'620 fr., auxquels s’ajoutent les débours forfaitaires, par 32 fr. 40, une vacation de 120 fr. et la TVA sur le tout, par 136 fr. 45. L’indemnité d’office allouée à Me Raynaud pour la procédure d’appel s’élève ainsi à 1'908 fr. 85. Vu l'issue de la cause, les frais de la procédure d'appel, par 6'396 fr. 35, constitués de l’émolument de jugement et d’audience, par 2’460 fr. (art. 21 al. 1 et 2 TFIP [tarif des frais de procédure et indemnités en matière pénale du 28 septembre 2010 ; BLV 312.03.1]), de l’indemnité allouée à son défenseur d’office, par 2'027 fr. 50 et de l’indemnité due au conseil d’office, par 1'908 fr. 85,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