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354 vom 17. Mai 2023</w:t>
      </w:r>
    </w:p>
    <w:p>
      <w:r>
        <w:t>VD Tribunal cantonal, 2023-05-17, FR</w:t>
      </w:r>
    </w:p>
    <w:p>
      <w:r>
        <w:rPr>
          <w:b/>
        </w:rPr>
        <w:t xml:space="preserve">Quelle: </w:t>
      </w:r>
      <w:r>
        <w:t>https://mcp.opencaselaw.ch/entscheid/vd_findinfo_354___________</w:t>
      </w:r>
    </w:p>
    <w:p>
      <w:r>
        <w:t>FR: VD_FINDINFO 354 du 17 mai 2023</w:t>
      </w:r>
    </w:p>
    <w:p>
      <w:r>
        <w:t>IT: VD_FINDINFO 354 del 17 maggio 2023</w:t>
      </w:r>
    </w:p>
    <w:p>
      <w:pPr>
        <w:pStyle w:val="Heading2"/>
      </w:pPr>
      <w:r>
        <w:t>Regeste</w:t>
      </w:r>
    </w:p>
    <w:p>
      <w:r>
        <w:t>ADMISSION DE LA DEMANDE, ACCIDENT, LOI FÉDÉRALE SUR L'ASSURANCE-ACCIDENTS, ORDONNANCE DE NON-ENTRÉE EN MATIÈRE | 1 al. 1 LAA, 112 al. 1 LAA,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contre une décision qui s’apparente à une ordonnance de non-entrée en matière (cf. infra consid. 2.6.3), le recours est recevable. En particulier, même si les normes pénales contenues dans les lois d’assurances sociales, et notamment l’art. 112 LAA, n’ont pas pour finalité de protéger les intérêts économiques de l’assuré puisque le travailleur ne subit aucune réduction de prestations en cas de faute commise par son employeur (ACPR/402/2022 du 8 juin 2022 consid. 1.2 et les références citées ; Niggli, in : Niggli/Wiprächtiger [éd.], Basler Kommentar, Strafrecht II, 3 e éd. Bâle 2019, n. 13a et 19 ad art. 159 StGB), et que la qualité de lésée et donc de partie plaignante de la recourante pourrait sur ce point être sujette à caution, il faut admettre, dès lors que cette qualité n’a pas été déniée à la recourante par l’ordonnance attaquée, que celle-ci a, à ce stade, un intérêt protégé à l’annulation de l’ordonnance attaquée, au sens de l’art. 382 al. 1 CPP. Déposées en temps utile, la réponse du Ministère public, la réplique de la recourante et la duplique du Ministère public sont également recevables.</w:t>
      </w:r>
    </w:p>
    <w:p>
      <w:r>
        <w:rPr>
          <w:b/>
        </w:rPr>
        <w:t>E. 2</w:t>
      </w:r>
    </w:p>
    <w:p>
      <w:r>
        <w:t>CPP). Aux termes de l’art. 81 al. 1 CPP, en tant que prononcé clôturant la procédure, elle doit contenir une introduction (let. a), un exposé des motifs (let. b) (qui doit lui-même contenir une appréciation en fait et en droit [art. 81 al. 3 CPP]), un dispositif (let. c) (qui doit lui-même contenir la désignation des dispositions légales dont il a été fait application, l’ordonnance concernant le règlement de la procédure, le prononcé relatif aux effets accessoires et la désignation des personnes et des autorités qui reçoivent copie du prononcé ou du dispositif [art. 81 al. 4 CPP]), ainsi que l’indication des voies de droit (let. d).</w:t>
      </w:r>
    </w:p>
    <w:p>
      <w:r>
        <w:rPr>
          <w:b/>
        </w:rPr>
        <w:t>E. 2.1</w:t>
      </w:r>
    </w:p>
    <w:p>
      <w:r>
        <w:t>Selon l’art. 309 CPP, le Ministère public ouvre une instruction, notamment, lorsqu'il ressort du rapport de police, des dénonciations ou de ses propres constatations des soupçons suffisants laissant présumer qu'une infraction a été commise (al. 1 let. a). Il renonce à ouvrir une instruction lorsqu'il rend immédiatement une ordonnance de non-entrée en matière ou une ordonnance pénale (al. 4).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La forme et le contenu de l’ordonnance de non-entrée en matière sont régis par les art. 80 et 81 CPP (art. 320 al. 1 CPP, applicable par renvoi de l’art. 310 al. 2 CPP). L’ordonnance de non-entrée en matière doit être motivée et rendue par écrit (art. 80 al.</w:t>
      </w:r>
    </w:p>
    <w:p>
      <w:r>
        <w:rPr>
          <w:b/>
        </w:rPr>
        <w:t>E. 2.3</w:t>
      </w:r>
    </w:p>
    <w:p>
      <w:r>
        <w:t>Le droit d’être entendu découlant des art. 6 CEDH et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L’art. 81 al. 3 CPP, qui exige que les jugements et autres prononcés clôturant l’enquête soient motivés en fait et en droit, ne fait qu’inscrire dans le Code de procédure pénale les principes constitutionnels découlant du droit d’être entendu (Brüschweiler/Nadig/Schneebeli, in : Donatsch/Lieber/Summers/Wohlers [éd.], Zürcher Kommentar StPO, 3 e éd., Zurich 2020, n. 4 ad art. 81 StPO et les réf. cit.).</w:t>
      </w:r>
    </w:p>
    <w:p>
      <w:r>
        <w:rPr>
          <w:b/>
        </w:rPr>
        <w:t>E. 2.4</w:t>
      </w:r>
    </w:p>
    <w:p>
      <w:r>
        <w:t>Avant l’ouverture d’une instruction, le droit d'être entendu des parties est assuré, le cas échéant, dans le cadre de la procédure de recours (cf. art. 310 al. 2, 322 al. 2 et 393 ss CPP), laquelle permet aux parties de faire valoir tous leurs griefs – formels et matériels – auprès d'une autorité disposant d'une pleine cognition en fait et en droit (cf. art. 391 al. 1 et 393 al. 2 CPP ; TF 6B_89/2022 du 2 juin 2022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d'un plein pouvoir d'examen en fait et en droit, la Chambre des recours pénale ne peut alors pas réparer ces lacunes, en particulier au vu de la garantie de la double instance (ATF 142 II 218 précité et les références citées ; TF 6B_1251/2016 du 19 juillet 2017 consid. 3.1 ; CREP 9 mars 2023/175 consid. 3.2.4 ; CREP 12 septembre 2022/678 consid. 5.2 et les références citées).</w:t>
      </w:r>
    </w:p>
    <w:p>
      <w:r>
        <w:rPr>
          <w:b/>
        </w:rPr>
        <w:t>E. 2.5.1</w:t>
      </w:r>
    </w:p>
    <w:p>
      <w:r>
        <w:t>Aux termes de l’art. 112 LAA, est puni d’une peine pécuniaire de 180 jours-amende au plus, à moins qu’une infraction plus grave selon une autre loi n’ait été commise, quiconque, intentionnellement, par des indications fausses ou incomplètes ou d'une autre manière, s’est dérobé, partiellement ou totalement, à ses obligations en matière d'assurance ou de primes.</w:t>
      </w:r>
    </w:p>
    <w:p>
      <w:r>
        <w:rPr>
          <w:b/>
        </w:rPr>
        <w:t>E. 2.5.2</w:t>
      </w:r>
    </w:p>
    <w:p>
      <w:r>
        <w:t>Selon l'art. 1a al. 1 let. a LAA, sont assurés à titre obligatoire conformément à la LAA les travailleurs occupés en Suisse y compris les travailleurs à domicile, les apprentis, les stagiaires, les volontaires ainsi que les personnes travaillant dans des écoles de métiers ou des ateliers protégés. Est réputé travailleur au sens de la LAA quiconque exerce une activité lucrative dépendante au sens de la législation fédérale sur l'assurance-vieillesse et survivants (art. 1 OLAA ; RS 832.202). Dans la LAVS (Loi fédérale du 20 décembre 1946 sur l’assurance-vieillesse et survivants ; RS 831.10),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du 31 octobre 1947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141 V 313 consid. 2.1 ;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quels éléments sont prédominants dans le cas considéré (ATF 140 V 108 consid. 6 ; ATF 123 V 161 consid. 1 et les références; TF 8C_286/2022 du 11 janvier 2023 consid. 3.1 et les réf. cit.).</w:t>
      </w:r>
    </w:p>
    <w:p>
      <w:r>
        <w:rPr>
          <w:b/>
        </w:rPr>
        <w:t>E. 2.5.3</w:t>
      </w:r>
    </w:p>
    <w:p>
      <w:r>
        <w:t>La LAA prévoit ainsi, à son art. 1a al. 1, le cercle des personnes qui doivent être assurées à titre obligatoire. Il n’est pas du pouvoir de l’employeur ou du travailleur de choisir s’ils veulent ou pas placer celui-ci sous la protection de cette assurance ; les clauses contractuelles contraires sont nulles (Kieser/Gehring/ Bollinger, Orell Füssli Kommentar, KVG/UVG Kommentar, 2018, n. 1 ad art. 1a UVG).</w:t>
      </w:r>
    </w:p>
    <w:p>
      <w:r>
        <w:rPr>
          <w:b/>
        </w:rPr>
        <w:t>E. 2.6.1</w:t>
      </w:r>
    </w:p>
    <w:p>
      <w:r>
        <w:t>En l’espèce, le Ministère public a ouvert d’office une enquête pénale après l’accident dont la recourante a été la victime le 7 janvier 2020. Dans ce cadre, le 23 janvier 2020, la recourante a déposé plainte pénale pour lésions corporelles graves, subsidiairement lésions corporelles graves par négligence, et s’est constituée partie plaignante au pénal et au civil. Le 2 février 2021, le Procureur général a refusé d’approuver le projet d’ordonnance de classement que lui avait soumis le Procureur, et lui a renvoyé le dossier pour qu’il ouvre une instruction à l’encontre de [...], notamment. Le 10 février 2021, le Procureur a ouvert une instruction pénale contre celui-ci pour ne pas avoir pris toutes les mesures de sécurité nécessaires afin d’éviter l’accident impliquant la recourante. Puis, le 17 octobre 2022, il a ouvert une instruction contre [...], [...], [...] et [...], à raison des mêmes faits. C’est dans ce cadre que, le 12 octobre 2022, la recourante, par son conseil, a déclaré au Procureur qu’elle estimait que l’instruction devait être étendue à l’infraction de l’art. 112 LAA (P. 130), puis que, le 20 janvier 2023, elle a demandé au Procureur qu’il se prononce par écrit sur sa demande du 12 octobre 2022 d’étendre l’instruction à cette même infraction. Par lettre du 24 janvier 2023, le Ministère public a répondu qu’il n’entendait pas étendre l’instruction à l’infraction réprimée par l’art. 112 LAA, au motif qu’il ressortait du dossier qu’P.________ n’avait jamais eu le statut de travailleuse au sens de l’art. 1a al. 1 let. a LAA, car elle était une artiste indépendante engagée pour faire un numéro, liée par un contrat innomé s’apparentant à un contrat de mandat ou d’entreprise ; il ajoutait que, du reste, cela ressortait du chiffre 4.3 du contrat qu’elle avait conclu avec [...] (P. 148).</w:t>
      </w:r>
    </w:p>
    <w:p>
      <w:r>
        <w:rPr>
          <w:b/>
        </w:rPr>
        <w:t>E. 2.6.2</w:t>
      </w:r>
    </w:p>
    <w:p>
      <w:r>
        <w:t>Dans son recours, P.________ invoque d’abord une constatation erronée des faits ainsi qu’une violation du droit au sens de l’art. 393 al. 2 let. a et b CPP. Elle soutient que c’est à tort que le Procureur a qualifié de contrat innomé relevant du mandat ou du contrat d’entreprise le contrat la liant à [...]. Elle expose que s’il est vrai que le chiffre 4.3 de son contrat prévoit qu’elle doit conclure une assurance-accident, cela n’implique pas que cette clause soit conforme à la loi. Elle considère qu’elle devait exécuter un travail et relève neuf circonstances factuelles dont elle déduit qu’il existait un rapport de subordination entre elle-même et son prétendu employeur. Elle invoque trois autres circonstances factuelles dont elle déduit qu’elle était rémunérée par un salaire. En conséquence, invoquant un statut de travailleur au sens du droit des assurances sociales, en particulier de la LAA, elle soutient que l’art. 310 CPP a été violé et que l’ordonnance de non-entrée en matière doit être annulée.</w:t>
      </w:r>
    </w:p>
    <w:p>
      <w:r>
        <w:rPr>
          <w:b/>
        </w:rPr>
        <w:t>E. 2.6.3</w:t>
      </w:r>
    </w:p>
    <w:p>
      <w:r>
        <w:t>En l’espèce, le procureur a refusé de donner suite à une demande d’étendre l’instruction à l’infraction à l’art. 112 LAA par une décision rendue sous forme de lettre, dépourvue notamment d’état de fait et de l’indication des voies de droit. Or, comme relevé plus haut (cf. consid. 2.2), s’il entendait rendre à ce stade une décision formelle par laquelle il déclarait renoncer à ouvrir une instruction pour de nouveaux faits portés à sa connaissance, il devait attribuer à la plainte un nouveau numéro de dossier (cf. art. 100 CPP), et rendre une ordonnance de non-entrée en matière au sens de l’art. 310 CPP, comportant tous les éléments factuels et juridiques exigés pour de telles ordonnances (cf. art. 80 et 81 CPP, par renvoi des art. 320 al. 1 CPP, applicable par renvoi de l’art. 310 al. 2 CPP). S’il entendait ne pas donner suite à des réquisitions de preuve tendant à établir d’autres faits que ceux pour lesquels l’instruction avait été initialement ouverte (ceux portant sur la prétendue infraction de l’art. 112 LAA), il lui suffisait de les rejeter et de rendre une ordonnance de classement sur ce point au terme de l’instruction, ordonnance devant revêtir les éléments exigés par les art. 80 et 81 CPP (cf. art. 320 al. 1 CPP). Or, en l’occurrence, la voie choisie par le procureur n’est pas claire. En tant que la décision rendue vaut ordonnance de non-entrée en matière, il faut constater qu’elle n’est pas motivée à satisfaction, notamment parce qu’elle ne contient aucun état de fait exposant les principaux éléments exigés par la jurisprudence, permettant de déterminer si la recourante exerçait une activité lucrative dépendante au sens de la LAVS, ni, a fortiori, aucune appréciation juridique de ces faits au cas particulier. En outre, une ordonnance de non-entrée en matière se référant « au dossier » ne pouvait pas être rendue, sachant que ce « dossier » résultait d’une instruction déjà ouverte. Enfin, les deux motifs invoqués lapidairement par le procureur, en relation avec la qualification du contrat et du chiffre 4.3 de celui-ci, sont sans pertinence. En effet, selon ce qui a été exposé plus haut, le point de savoir si l’on a affaire, dans un cas donné, à une activité indépendante ou salariée ne doit pas être tranché d’après la nature juridique du rapport contractuel entre les partenaires (cf. supra consid. 2.5.2), d’une part, et il n’est pas du pouvoir de l’employeur ou du travailleur de choisir s’ils veulent ou pas placer celui-ci sous la protection de cette assurance, les clauses contractuelles contraires étant nulles (cf. supra consid. 2.5.3), d’autre part.</w:t>
      </w:r>
    </w:p>
    <w:p>
      <w:r>
        <w:rPr>
          <w:b/>
        </w:rPr>
        <w:t>E. 2.6.4</w:t>
      </w:r>
    </w:p>
    <w:p>
      <w:r>
        <w:t>Dans ces conditions, la Chambre des recours pénale n’est pas en mesure de statuer. Elle ne saurait s’essayer à établir une version précise des nombreux faits pertinents et à en tirer des conséquences quant à la question juridique de savoir si la recourante peut être réputée travailleuse au sens de la LAA, sauf à priver la partie de la garantie fondamentale de la double instance.</w:t>
      </w:r>
    </w:p>
    <w:p>
      <w:r>
        <w:rPr>
          <w:b/>
        </w:rPr>
        <w:t>E. 3</w:t>
      </w:r>
    </w:p>
    <w:p>
      <w:r>
        <w:t>Au vu de ce qui précède, le recours doit être admis et la décision entreprise annulée et le dossier de la cause renvoyé au Ministère public pour qu’il procède au sens des considérants (art. 397 al. 2 CPP). La recourante a requis l’assistance judiciaire pour la procédure de recours. Cette requête est superflue. En effet, le droit à un conseil juridique gratuit vaut pour toutes les étapes de la procédure (Harari/Aliberti, in : Kuhn/Jeanneret/ Perrier Depeursinge [éd.], Commentaire romand, Code de procédure pénale suisse, Bâle 2019, n. 1 ad art. 134 CPP) et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 conseil juridique gratuit déjà désigné par l’autorité inférieure (ici par ordonnance du 17 février 2020), à la différence de ce que prévoit l’art. 119 al. 5 CPC en matière civile (cf. not. CREP 30 mars 2023/255 consid. 8) . Les frais de la procédure de recours, par 1’320 fr. (art. 20 al. 1 TFIP [Tarif des frais de procédure et indemnités en matière pénale du 28 septembre 2010 ; BLV 312.03.1]), ainsi que les frais imputables à l’assistance juridique d’Olga Sevastianova (art. 422 al. 1 et 2 let. a CPP), fixés à 730 fr., sur la base de 5 heures d’activité d’avocat stagiaire et d’une heure d’activité d’avocat, aux tarifs horaires de 110 fr. et 180 fr. respectivement (art. 2 al. 1 let. a et b RAJ [Règlement sur l'assistance judiciaire en matière civile du 7 décembre 2010 ; BLV 211.02.3], applicable par renvoi de l’art. 26b TFIP), pour le mémoire de recours du 6 février 2023 et de la réplique du 8 mai 2023, honoraires auxquels il convient d’ajouter des débours forfaitaires à concurrence de 2 % (art. 3 bis al. 1 RAJ, applicable par renvoi de l’art. 26b TFIP), par 14 fr. 60, plus la TVA sur le tout au taux de 7,7 %, par 57 fr. 33, soit à 802 fr. au total en chiffres arrondis, seront laissés à la charge de l’Etat (art. 423 al. 1 CPP). Par ces motifs, la Chambre des recours pénale prononce : I. Le recours est admis. II. La décision du 24 janvier 2023 est annulée. III. Le dossier de la cause est renvoyé au Ministère public de l’arrondissement de Lausanne pour qu’il procède dans le sens des considérants. IV. L’indemnité allouée au conseil juridique gratuit d’P.________ est fixée à 802 fr. (huit cent deux francs). V. Les frais d’arrêt, par 1'320 fr. (mille trois cent vingt francs), ainsi que l’indemnité due au conseil juridique gratuit d’P.________, par 802 fr. (huit cent deux francs), sont laissés à la charge de l’Etat. VI. L’arrêt est exécutoire. La présidente :               Le greffier : Du Le présent arrêt, dont la rédaction a été approuvée à huis clos, est notifié, par l'envoi d'une copie complète, à : - Me Elza Reymond, avocate (pour P.________),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