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32/2010/JCL vom 19. Februar 2010</w:t>
      </w:r>
    </w:p>
    <w:p>
      <w:r>
        <w:t>VD Tribunal cantonal, 2010-02-19, FR</w:t>
      </w:r>
    </w:p>
    <w:p>
      <w:r>
        <w:rPr>
          <w:b/>
        </w:rPr>
        <w:t xml:space="preserve">Quelle: </w:t>
      </w:r>
      <w:r>
        <w:t>https://mcp.opencaselaw.ch/entscheid/vd_findinfo_32_2010_JCL</w:t>
      </w:r>
    </w:p>
    <w:p>
      <w:r>
        <w:t>FR: VD_FINDINFO 32/2010/JCL du 19 février 2010</w:t>
      </w:r>
    </w:p>
    <w:p>
      <w:r>
        <w:t>IT: VD_FINDINFO 32/2010/JCL del 19 febbraio 2010</w:t>
      </w:r>
    </w:p>
    <w:p>
      <w:pPr>
        <w:pStyle w:val="Heading2"/>
      </w:pPr>
      <w:r>
        <w:t>Regeste</w:t>
      </w:r>
    </w:p>
    <w:p>
      <w:r>
        <w:t>ACTION EN LIBÉRATION DE DETTE, COMPTE COURANT, INTÉRÊTS COMPOSÉS, ACOMPTE, IMPUTATION | 116 CO, 17 CO, 69 al. 2 CO, 85 al. 1 CO, 83 al. 2 LP, 83 al. 3 LP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en remboursement des deux tiers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