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29/2013 vom 23. September 2013</w:t>
      </w:r>
    </w:p>
    <w:p>
      <w:r>
        <w:t>VD Tribunal cantonal, 2013-09-23, FR</w:t>
      </w:r>
    </w:p>
    <w:p>
      <w:r>
        <w:rPr>
          <w:b/>
        </w:rPr>
        <w:t xml:space="preserve">Quelle: </w:t>
      </w:r>
      <w:r>
        <w:t>https://mcp.opencaselaw.ch/entscheid/vd_findinfo_29_2013</w:t>
      </w:r>
    </w:p>
    <w:p>
      <w:r>
        <w:t>FR: VD_FINDINFO 29/2013 du 23 septembre 2013</w:t>
      </w:r>
    </w:p>
    <w:p>
      <w:r>
        <w:t>IT: VD_FINDINFO 29/2013 del 23 settembre 2013</w:t>
      </w:r>
    </w:p>
    <w:p>
      <w:pPr>
        <w:pStyle w:val="Heading2"/>
      </w:pPr>
      <w:r>
        <w:t>Regeste</w:t>
      </w:r>
    </w:p>
    <w:p>
      <w:r>
        <w:t>RÉCUSATION | 6 al. 1 let. a ROTC, 9 let. e LPA-VD</w:t>
      </w:r>
    </w:p>
    <w:p>
      <w:pPr>
        <w:pStyle w:val="Heading2"/>
      </w:pPr>
      <w:r>
        <w:t>Volltext</w:t>
      </w:r>
    </w:p>
    <w:p>
      <w:r>
        <w:t>Waadtland Tribunal cantonal Cour administrative 23.09.2013 29/2013 Vaud Tribunal cantonal Cour administrative 23.09.2013 29/2013 Vaud Tribunal cantonal Cour administrative 23.09.2013 29/2013</w:t>
      </w:r>
    </w:p>
    <w:p>
      <w:r>
        <w:t>RÉCUSATION | 6 al. 1 let. a ROTC, 9 let. e LPA-VD</w:t>
      </w:r>
    </w:p>
    <w:p>
      <w:r>
        <w:t>TRIBUNAL CANTONAL AC.2013.0391 29/2013 COUR ADMINISTRATIVE ______________________________ RECUSATION ADMINISTRATIVE Du 23 septembre 2013 __________________ Présidence de               M. Meylan , président Juges :              MM. Muller et Michellod Greffier :              Mme Boryszewski ***** Art. 9 al. 1 let. e LPA-VD; art. 6 al. 1 let. a ROTC Vu le recours déposé auprès de la Cour de droit administratif et public du Tribunal cantonal (ci-après : CDAP), le 13 septembre 2013, par O.________ et Z.________ contre la décision rendue par la C.________, le 25 juillet 2013, qui autorise la transformation de la dépendance du bâtiment ECA n.[...] par l'aménagement d'un dépôt, carnotzet et locaux de production artisanale de caramels, sur la parcelle n. [...] de la Commune d'[...], propriété d'[...] à [...] et promis-vendu à [...] et [...] à [...], vu la demande de récusation du 18 septembre 2013, adressée à la cour de céans, par le juge cantonal [...] pour l'ensemble des juges de la CDAP, vu les pièces au dossier; attendu que le recours déposé par O.________ et Z.________ , le 13 septembre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13 septembre 2013, par [...], pour l'ensemble des juges de la CDAP, qu'en outre, ledit juge, en sa qualité de président de la CDAP I, cour compétente pour traiter du recours de O.________ et Z.________ (art. 28 al. 1 ROTC), a demandé la récusation de la CDAP le 18 septembre suivant, qu'il a dès lors agi avec célérité (art.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par sa fonction de juge cantonal, par ailleurs, membre de la CDAP, O.________ entretient régulièrement des contacts professionnels avec les autres juges membres de dite cour, que ces relations professionnels pourraient faire naître des liens d'amitié étroite ou d'inimitié personnelle entre les autres juges de la CDAP et O.________, qu'ainsi, pour des motifs d'apparence, il ne semble pas adéquat que l'un des juges cantonaux siégeant dans cette cour soit appelé à instruire ou statuer sur le recours de O.________ et Z.________, que la demande de récusation doit dès lors être admise; attendu que lorsqu'une demande de récusation de l'ensemble d'une cour du Tribunal cantonal est admise, la cour de céans désigne une cour ad hoc en son sein (art. 8b al. 2 du Code de droit privé judiciaire du 12 janvier 2010; RSV 211.02), qu'il y a donc lieu de nommer [...], juge cantonal au sein de la Cour d'appel civile et de la Cour d'appel pénale, en qualité de juge instructeur dans la cause qui oppose O.________ et Z.________ à la C.________, qu'il lui appartiendra de composer la cour; attendu que le présent arrêt est rendu sans frais, ni dépens. . Par ces motifs, la Cour administrative du Tribunal cantonal, statuant à huis clos prononce : I. La demande de récusation de la Cour de droit administratif et public en corps du 18 septembre 2013 est admise. II . La cause opposant O.________ et Z.________ à la C.________ actuellement pendante devant la Cour de droit administratif et public est transmise dans l'état où elle se trouve, à [...], juge au sein de la Cour d'appel civile et de la Cour d'appel pénale du Tribunal cantonal, pour instruire, le cas échéant statuer sur le recours déposé le 13 septembre 2013 par O.________ et Z.________. III. Le présent arrêt est rendu sans frais, ni dépens. IV. Le présent arrêt est exécutoire. Le président :               Le greffier : Du L’arrêt qui précède, dont la rédaction a été approuvée à huis clos, est notifié, par l'envoi d'une copie complète, à : - O.________ et Z.________, par l'intermédiaire de leur conseil, Me Luc Pittet, avocat à Lausanne, et communiqué par l'envoi de photocopies à : - [...], juge au sein de la Cour d'appel civile et de la Cour d'appel pénale du Tribunal cantonal à Lausanne; - la C.________.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