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27/2012/PBH vom 9. Februar 2012</w:t>
      </w:r>
    </w:p>
    <w:p>
      <w:r>
        <w:t>VD Tribunal cantonal, 2012-02-09, FR</w:t>
      </w:r>
    </w:p>
    <w:p>
      <w:r>
        <w:rPr>
          <w:b/>
        </w:rPr>
        <w:t xml:space="preserve">Quelle: </w:t>
      </w:r>
      <w:r>
        <w:t>https://mcp.opencaselaw.ch/entscheid/vd_findinfo_27_2012_PBH</w:t>
      </w:r>
    </w:p>
    <w:p>
      <w:r>
        <w:t>FR: VD_FINDINFO 27/2012/PBH du 9 février 2012</w:t>
      </w:r>
    </w:p>
    <w:p>
      <w:r>
        <w:t>IT: VD_FINDINFO 27/2012/PBH del 9 febbraio 2012</w:t>
      </w:r>
    </w:p>
    <w:p>
      <w:pPr>
        <w:pStyle w:val="Heading2"/>
      </w:pPr>
      <w:r>
        <w:t>Regeste</w:t>
      </w:r>
    </w:p>
    <w:p>
      <w:r>
        <w:t>GARANTIE EN RAISON DES DÉFAUTS DE LA CHOSE, VENTE, ACTION EN RÉDUCTION, ACTION EN RÉDUCTION DU PRIX, AVIS DES DÉFAUTS | 184 CO, 197 CO, 200 CO, 201 CO, 205 CO, 216 CO, 219 CO, 221 CO, 97 CO</w:t>
      </w:r>
    </w:p>
    <w:p>
      <w:pPr>
        <w:pStyle w:val="Heading2"/>
      </w:pPr>
      <w:r>
        <w:t>Erwägungen</w:t>
      </w:r>
    </w:p>
    <w:p>
      <w:r>
        <w:rPr>
          <w:b/>
        </w:rPr>
        <w:t>E. 1</w:t>
      </w:r>
    </w:p>
    <w:p>
      <w:r>
        <w:t>CO, la validité du contrat de vente immobilière est soumise à l'observation de la forme authentique (Foëx, Commentaire romand, n. 5 ad art. 216 CO). En l'espèce, les demandeurs ont acquis séparément un appartement de la défenderesse par la signature d'actes authentiques et cette dernière leur a transféré la propriété de ces biens. Les parties ont donc conclu des contrats de vente immobilière, ce qu'elles ne contestent d'ailleurs pas. b) Le litige se situe dans le cadre d'une vente immobilière. En raison du renvoi général de l'art. 221 CO, les règles de la garantie pour les défauts d'une vente immobilière sont en principe les mêmes que celles qui régissent la vente mobilière, sinon que l'action se prescrit normalement non par un an, mais par cinq ans dès le transfert de la propriété (art. 219 al. 3 CO) (Tercier/Favre, Les contrats spéciaux, 4 ème éd., n. 1084, p. 162 et n. 1098, p. 164).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L'action exercée par les demandeurs est une action minutoire pour défaut de la chose vendue au sens de l'art. 205 al. 1 CO, selon lequel, dans les cas de garantie en raison des défauts de la chose, l'acheteur peut maintenir le contrat tout en réclamant notamment une indemnité pour la moins-value (Venturi, Commentaire romand, n. 14 ad art. 205 CO). Pour qu'une telle action puisse être admise, trois conditions de base doivent être respectées, à savoir l'existence d'un défaut (art. 197 al. 1 CO), que l'acheteur l'ait ignoré (art. 200 CO) et qu'il ait respecté ses incombances, à défaut de quoi il sera réputé avoir accepté le défaut (all. 201 CO) (Tercier/Favre, op. cit., n. 719, p. 106 et n. 773, p. 114). Parallèlement aux actions découlant de la garantie pour les défauts, l'acheteur peut réclamer au vendeur fautif des dommages-intérêts (art. 97 ss CO) pour le préjudice patrimonial consécutif au défaut qui n'est pas couvert par la garantie pour les défauts. Il s'agit d'un concours alternatif. Dans ce cas également, l'acheteur doit remplir les devoirs de vérification et d'avis des défauts prévus à l'art. 201 CO et respecter les délais de prescription prévus aux art. 210 CO, respectivement 219 al. 3 CO (ATF 133 III 335 c. 2.4.1 et 2.4.4, JT 2010 I 223; ATF 126 III 388 c. 10a, rés. in JT 2002 I 215). En l'espèce, les demandeurs exercent également cette action. IV. a) Il convient en premier lieu d'examiner s'il existe un défaut. La défenderesse considère que la mise à l'enquête de la digue au mois de juillet 2003, la procédure d'opposition concernant cette digue, puis la construction de la digue elle-même sont postérieures à trois des actes authentiques ou en tout cas contemporaines du quatrième acte authentique. Dans ces circonstances, la cause du défaut serait postérieure au transfert des risques. Elle soutient au demeurant qu'un risque d'inondation potentiel tous les cinquante ans à l'endroit concerné par la construction ne constitue pas un défaut. b) Le défaut se définit comme l'absence d'une qualité dont le vendeur avait promis l'existence ou à laquelle l'acheteur pouvait s'attendre selon les règles de la bonne foi (TF 4A_321/2007 du 3 décembre 2007 c. 4.3; ATF 114 II 239 c. 5, JT 1989 I 162; Tercier/Favre, op. cit., n. 723, p. 106). Ces auteurs préconisent de comparer entre deux états : l'état de la chose qui a été livrée en se fondant sur les faits et l'état de la chose qui devait être livrée en se fondant cette fois sur le contenu de l'accord entre les parties. En cas de divergence entre ces deux états, on retient qu'il y a un défaut (Tercier/Favre, op. cit., nn. 724 ss, p. 107). Le vice peut affecter une qualité matérielle, juridique ou économique de la chose vendue (Venturi, op. cit., nn. 4 à 6 ad art. 197 CO). Le défaut matériel affecte les propriétés physiques de la chose et recouvre les défauts au sens technique, de même que des vices touchant à l'authenticité ou d'autres éléments intrinsèques de la chose (Tercier/Favre, op. cit., n. 738, p. 108; Venturi, op. cit., n. 4 ad art. 197 CO). Pour ce qui est des immeubles, on peut notamment citer la différence par rapport au volume promis (TF du 3 mars 1981, publié in SJ 1981 p. 518, DC 1982 16/11) ou un accès insuffisant à un appartement (RSJ 1979 131). Il y a un défaut de qualité juridique lorsque la chose ne correspond pas aux exigences juridiques ou ne permet pas à l'acheteur pour ce motif d'en tirer toutes les utilités (ATF 98 II 191 c. 4, JT 1973 I 370; Tercier/Favre, op. cit., n. 743, p. 109; Venturi, op. cit., n. 5 ad art. 197 CO et les références citées). C'est le cas de choses qui ne sont pas conformes aux prescriptions administratives (ATF 95 II 119 c. 3b, JT 1970 I 238) ou de terrains affectés d'une restriction de bâtir (RVJ 1994 277, DC 1995 94/245; ATF 98 II 15 c. 3, JT 1972 I 547). Le vendeur est tenu des qualités attendues. Il s'agit des qualités qui n'ont pas été convenues entre les parties ou promises par le vendeur, mais sur lesquelles l'acheteur devait pouvoir compter selon les règles de la bonne foi. Il faut que le vice entraîne une diminution notable de la valeur ou de l'utilité de la chose. C'est le cas si l'acheteur n'aurait pas conclu le contrat ou ne l'aurait pas conclu aux mêmes conditions s'il avait connu le défaut (RSJ 1990 288; Venturi, op. cit., n. 16 ad art. 197 CO; Tercier/Favre, op. cit., nn. 756 ss). Le point décisif est de savoir si l'immeuble présentait des défauts, cas échéant cachés, au moment du transfert des profits et des risques (ATF 130 III 686 c. 4.3.2, JT 2005 I 247). Le défaut doit en effet exister antérieurement au transfert des risques. Lorsqu'un terme a été fixé conventionnellement pour la prise de possession de l'immeuble vendu, les profits et risques de la chose sont présumés ne passer à l'acquéreur que dès l'échéance de ce terme (art. 220 CO) (Tercier/Favre, op. cit., n. 689, p. 101; Venturi, op. cit., n. 9 ad art. 197 CO). c) ca) En l'espèce, les demandeurs reprochent, si l'on comprend bien, à la défenderesse de ne pas les avoir informés du fait que leur immeuble se situait dans une zone soumise à des risques d'inondation. Il résulte de l'expertise que les appartements des demandeurs ont été construits dans une zone de dangers élevés; à la suite de la construction de la digue, la zone présente moins de dangers, mais est maintenue en zone de dangers faibles. Lors de la mise à l'enquête du projet de construction de la Résidence K.________, les cartes de dangers naturels n'étaient pas encore établies. L'expert relève toutefois l'inondation de l'année 1999, ainsi que le fait que, dans sa synthèse du 5 décembre 2001 accompagnant le permis de construire, la CAMAC a indiqué que la SESA soulevait le risque de dégâts pouvant être causés par le cour d'eau. Compte tenu de ces éléments, le fait que les crues ne surviennent que tous les cinquante ans n'est pas pertinent, d'autant moins dans le cas d'une vente immobilière. Il est établi que les quatre actes de vente mentionnent le fait qu'une bande de terrain d'une largeur d'environ neuf mètres en bordure de la T.________ devrait être cédée par les propriétaires à l'Etat de Vaud, en vue de la construction d'une digue. Au vu de ces éléments, on retient que les appartements des demandeurs sont construits dans une zone à risques devenue zone à risques faibles à la suite de la construction de la digue. En revanche, l'inondation en elle-même ne saurait constituer un défaut. cb) S'agissant de la construction de la digue devant les appartements des demandeurs D.________ et J.________, on retient que les demandeurs ont été informés lors de la signature des actes de vente de la construction d'une digue en bordure de la T.________. Selon le plan du 15 juillet 2002, la hauteur de la digue est d'un mètre par rapport au terrain naturel, tandis que sur le plan du 11 juin 2003, la hauteur est portée à 1,20 mètre. L'expert constate que la digue effectivement réalisée est de 1,70 mètre devant l'appartement du demandeur J.________, tandis qu'il est de 1,80 mètre devant l'appartement du demandeur D.________. Compte tenu de l'existence de cette digue, les demandeurs ne bénéficient plus que d'une vue réduite depuis leurs appartements respectifs, le pré avoisinant ainsi que le fond la vallée étant désormais cachés par la digue. Les demandeurs ont toutefois été informés du fait qu'une digue allait être construite prochainement; en outre, celle-ci ayant été réalisée une fois les demandeurs entrés en possession de leurs appartements, il leur appartenait de s'assurer que la digue comportait la hauteur prévue. On ne saurait en effet imputer à la défenderesse les 50, respectivement 60 centimètres de hauteur de digue non prévus. Au demeurant, comme le relève à juste titre l'expert, les demandeurs n'étaient pas à l'abri de la plantation d'une haie en bordure de leur propriété d'une hauteur maximale de deux mètres. On retient en définitive, que les demandeurs D.________ et J.________ n'ont pas établi que la modification de la vue depuis leurs appartements constituerait un défaut. cc) Pour ce qui est de la place de parc n° 7, l'expert confirme qu'elle ne respecte pas les normes en la matière. En ce qui concerne les dimensions minimales d'une case, celle des demandeurs A.W.________ et B.W.________ serait, dans le meilleur des cas, trop étroite de 698 centimètres (2,858 mètres ./. 2,16 mètres) et, dans le pire, de 1,026 mètre (3,186 mètres ./. 2,16 mètres). Se fondant sur ces constatations convaincantes, la cour retient que les demandeurs pouvaient s'attendre à ce que la place de parc qui leur était vendue respecte les dimensions minimales admises; la place de parc n° 7 est par conséquent affectée d'un défaut. d) Au vu des éléments qui précèdent, les appartements des demandeurs sont affectés d'un défaut en ce sens qu'ils se trouvent dans une zone à risques de crue; de surcroît, la place de parc n° 7 ne correspond pas aux normes en la matière. Les demandeurs ont ainsi établi l'absence d'une qualité à laquelle ils pouvaient s'attendre selon les règles de la bonne foi, laquelle diminue la valeur de leurs appartements, respectivement l'utilité prévue de la place de parc. En revanche, l'édification de la digue le long des appartements des demandeurs D.________ et J.________ ne constitue pas un défaut. Les conclusions de ces demandeurs en relation avec la perte de valeur de leur appartement en raison de la présence de la digue doivent par conséquent être rejetées. V. a) La défenderesse soutient que les demandeurs connaissaient la problématique de la digue et, par conséquent, le risque potentiel d'inondation. aa) Il est nécessaire que l'acheteur ait ignoré le défaut au moment de la conclusion du contrat (Tercier/Favre, op. cit., n. 763, p. 112; Venturi, op. cit., nn. 1 s. ad art. 200 CO). Le vendeur ne répond en effet pas des défauts que l'acheteur connaissait au moment de la vente (art. 200 al. 1 CO). Pour juger de la connaissance qu'avait ou qu'aurait dû avoir l'acheteur des défauts, on se placera au moment de la conclusion du contrat,  soit de l'instrumentation de l'acte authentique s'agissant d'un immeuble (ATF 117 II 259 c. 1, JT 1992 I 559), et non pas celui du transfert de propriété (CCiv 20 avril 2010/62  c. I.a; ATF 131 III 145 c. 6, JT 2007 I 261; ATF 117 II 259 c. 1, JT 1992 I 559; Giger, Berner Kommentar, n. 6 ad art. 200 CO). On présume la connaissance du défaut lorsque l'acheteur aurait dû s'apercevoir des défauts en examinant la chose avec une attention suffisante, compte tenu de ses connaissances et de ses moyens d'investigation (SJ 1981 p. 569; ATF 95 II 119 c. 5, JT 1970 I 238; ATF 66 II 132 c. 5, JT 1940 I 554). La connaissance du défaut peut résulter d'une information du vendeur ou d'une vérification de l'objet par l'acheteur avant la conclusion du contrat ou au moment de celle-ci. Cette vérification doit être distinguée de celle prévue à l'art. 201 CO qui a lieu à la livraison ou immédiatement après (Tercier/Favre, op. cit., n. 764, p. 113). Cependant, si le vendeur a donné à l'acheteur l'assurance qu'un défaut donné n'existait pas (ou qu'une qualité promise était présente), il sera tenu à garantie, même si l'acheteur aurait pu déceler le vice en vérifiant la chose. L'acheteur est alors déchargé de vérifier la chose (art. 200 al. 2 CO) ( TF 4C.364/2000 du 15 mai 2001 c. 3d; ATF 95 II 119 c. 4, JT 1970 I 238; ATF 85 II 192, JT 1959 I 605; Tercier/Favre, op. cit., nn. 763 ss, pp. 112 s.). Il en va de même en cas de dol du vendeur (ATF 85 II 192, JT 1959 I 605; 66 II 132 c. 6, JT 1940 I 554). Il appartient au vendeur de prouver que l'acheteur connaissait ou aurait dû connaître le défaut (Venturi, op. cit., n. 2 ad art. 200 CO; Tercier/Favre, op. cit., n. 763, p. 112). ab) En l'espèce, conformément à la jurisprudence susmentionnée, la connaissance de la digue est examinée au jour de la conclusion des actes de vente et non du transfert de propriété. La mise à l'enquête complémentaire en relation avec la construction d'une digue a été ouverte au cours des mois de juillet et août 2003. Trois des actes de vente ont été signés au cours de l'hiver 2003, tandis que le quatrième l'a été au mois d'octobre 2003. Les demandeurs ne pouvaient donc connaître son existence au moment de la signature de leurs actes de vente respectifs qu'en ayant connaissance de l'ouverture de la mise à l'enquête. Il n'est pas établi qu'ils aient été informés de cette procédure. Il est en outre établi qu'en 2002-2003, les inondations de l'année 1999 étaient connues des habitants de la commune, mais pas toujours des vacanciers. On ne peut dès lors pas imputer aux demandeurs la connaissance des risques d'inondation dans la région; le fait que les demandeurs A.W.________ et B.W.________ se rendaient souvent dans la région avant l'acquisition de leur appartement n'est pas suffisant pour établir une telle connaissance. Il est établi que la défenderesse n'a pas informé les demandeurs des risques de crues de la rivière, ni de l'existence d'une enquête publique concernant sa sécurisation. Il est en revanche prouvé que les quatre actes de vente comportent la mention du fait qu'une bande de terrain d'une largeur d'environ neuf mètres en bordure de la rivière devrait être cédée par les propriétaires à l'Etat de Vaud, en vue de la construction d'une digue. Au moment de la conclusion du contrat, les demandeurs avaient donc connaissance du fait que la construction d'une digue était projetée en bordure de leur terrain. Dans ces circonstances, on doit retenir que, même en l'absence d'une information plus précise de la défenderesse, les demandeurs auraient dû se renseigner sur la fonction de cette digue; ils auraient alors pu connaître l'existence du risque d'inondation. Cela n'aurait pas nécessité des moyens d'investigation poussés. Par conséquent, on doit admettre que les demandeurs auraient dû connaître le défaut. Les demandeurs A.W.________ et B.W.________ ont acquis leur appartement, ainsi que la place de parc n° 7 au mois d'octobre 2003. Il est précisé dans l'acte de vente que la place de parc n'était pas utilisable au jour de la vente. Dans ces circonstances, le jour de la vente, les demandeurs étaient dans l'impossibilité de vérifier les possibilités d'accès pour un véhicule à leur place de parc. La défenderesse échoue ainsi à prouver que les demandeurs connaissaient ou auraient dû connaître l'étroitesse de la place de parc, ainsi que les difficultés de parcage y relatives. En définitive, les demandeurs auraient dû connaître le risque d'inondation; ce risque ne peut donc bénéficier de la protection des dispositions sur la garantie des défauts et les conclusions des demandeurs en relation avec la moins-value engendrée par cette situation doivent être rejetée. Au contraire, il est établi qu'au moment de l'achat, les demandeurs A.W.________ ignoraient le défaut dont est affecté la place de parc n° 7. c) L'acheteur perd ses droits à la garantie s'il accepte la chose avec ses défauts. Cette acceptation est une manifestation de volonté par laquelle l'acheteur fait savoir au vendeur qu'il renonce à invoquer les droits à la garantie. Elle peut être expresse ou tacite (Tercier/Favre, op. cit., nn. 768 ss, pp. 113 s. et les références citées). Elle est notamment tacite lorsque le maître ne donne pas immédiatement l'avis des défauts qu'il constate (Tercier/Favre, op. cit., n. 769, p. 114). La question de l'avis des défauts est examinée ci-dessous (cf. infra c. VI). d) L'art. 197 al. 2 CO prévoit que le vendeur répond des défauts même s'il les ignorait. Il est dès lors sans pertinence de savoir si la défenderesse connaissait ou non les défauts invoqués. Au demeurant, il est établi qu'elle a été en possession d'un certain nombre de documents se référant à des travaux de sécurisation de la rivière concernée, de même elle est propriétaire d'autres biens immobiliers dans la commune depuis l'année 2007. Elle connaissait donc le risque d'inondation dans la région et, plus précisément, en relation avec l'immeuble litigieux. VI. Sur le principe, il existe bel et bien un défaut ignoré de l'acheteur. Il convient dès lors d'examiner si les demandeurs ont respecté leurs incombances, à défaut de quoi ils ne pourraient se prévaloir du défaut constaté. a) aa) Conformément à l'art. 201 CO, l'acheteur doit vérifier l'état de la chose reçue aussitôt qu'il le peut d'après la marche habituelle des affaires et aviser sans délai le vendeur s'il découvre des défauts dont celui-ci est garant (art. 201 al. 1 CO). S'il ne procède pas ainsi, la chose est tenue pour acceptée, à moins qu'il ne s'agisse de défauts que l'acheteur ne pouvait découvrir à l'aide des vérifications usuelles (art. 201 al.</w:t>
      </w:r>
    </w:p>
    <w:p>
      <w:r>
        <w:rPr>
          <w:b/>
        </w:rPr>
        <w:t>E. 2</w:t>
      </w:r>
    </w:p>
    <w:p>
      <w:r>
        <w:t>CO). Si des défauts de ce genre se révèlent plus tard, ils doivent être signalés immédiatement, sinon la chose est tenue pour acceptée, même avec ces défauts (art. 201 al. 3 CO). L'art. 201 CO est d'application stricte. En matière d'avis des défauts, s'agissant d'un contrat de vente, y compris immobilière, le Tribunal fédéral se réfère à la jurisprudence relative au contrat d'entreprise (TF 4C.273/2006 du 6 décembre 2006 c. 3.1; TF 4C.82/2001 du 4 septembre 2001 c. 3b/aa; ATF 107 II 172 c. 1a, JT 1981 I 598). L'obligation de vérification "aussitôt" que l'acheteur le peut est évidemment fonction de la nature de la chose et du genre de défaut. Le délai peut donc aller de quelques jours à plusieurs mois, par exemple lorsqu'il s'agit de contrôler l'isolation d'une construction nécessitant qu'une certaine température extérieure se produise (ATF 81 II 56 c. 3b, JT 1955 I 562; Tercier/Favre, op. cit., nn. 773 ss, p. 114 et n. 1087, p. 162). Ces incombances visent un but de protection du vendeur, l'omission de vérification ou d'avis des défauts en temps utile entraînant la péremption des droits issus de la garantie (SJ 1988 p. 284 c. 3a; Venturi, op. cit., n. 1 ad art. 201 CO). Contrairement au devoir de vérification antérieur à la vente, celui de l'art. 201 CO porte aussi bien sur les qualités promises que sur les qualités inhérentes à la destination de la chose (ATF 81 II 56 c. 2b, JT 1955 I 562).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(TF 4C.82/2001 du 4 septembre 2001 c. 3b/aa; ATF 107 II 172 c. 1a, JT 1981 I 598 et les références citées). ab) Selon la jurisprudence du Tribunal fédéral,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(Tercier/Favre, op. cit., nn. 4530 s.; Hohl, L'avis des défauts de l'ouvrage : fardeau de la preuve et fardeau de l'allégation, in RFJ 1994, pp. 235 ss; Schmidt, note in SJ 1993 pp. 267 ss à propos de l'arrêt SJ 1993 p. 262 précité, qui s'opposent à cette séparation; contra Gauch, Le contrat d'entreprise, adaptation française de Carron (cité ci-après : Gauch/Carron), n. 2168, qui la défend). Depuis l'arrêt du 20 juillet 1992, le Tribunal fédéral a mentionné qu'en vertu de la règle générale de l'art. 8 CC, il incombait à l'acheteur se prévalant des art. 197 ss CO de prouver que l'avis des défauts avait été donné en temps utile (TF 4C.273/2006 du 6 décembre 2006 c. 3.1). On ne peut considérer sur cette base qu'il ait modifié sa jurisprudence, puisqu'il se référait à sa jurisprudence antérieure (notamment ATF 118 II 142, JT 1993 I 30; ATF 107 II 172, JT 1981 I 598). En matière de contrat d'entreprise, dans un arrêt récent,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 4.2.3). ac) En l'espèce, la défenderesse, dans son mémoire de droit, se prévaut notamment de la tardiveté de l'avis des défauts en relation avec le risque d'inondation et l'étroitesse de la place de parc n° 7. Toutefois, elle n'a pas allégué cet élément lors de l'échange d'écritures; de même, elle n'a pas allégué que l'objet de la vente aurait été accepté malgré ses défauts. Force est de constater que la défenderesse n'a pas allégué à temps que les demandeurs auraient tardé à émettre l'avis des défauts, soit qu'ils auraient accepté l'ouvrage malgré ses défauts. Elle a invoqué cette circonstance pour la première fois dans son mémoire de droit du 25 octobre 2011 (cf. art. 317a CPC-VD), ce qui n'est pas suffisant. La tardiveté de l'avis des défauts, respectivement l'acceptation de l'ouvrage malgré ses défauts, circonstance de fait, doit en effet être alléguée dans la phase de l'échange d'écritures (art. 261 à 275 CPC-VD). Dans la mesure où la défenderesse supportait le fardeau de l'allégation et où la présente cause est soumise à la maxime des débats (art. 4 al. 1 CPC-VD), ce qui exclut que la Cour civile constate d'office la circonstance litigieuse, il faut admettre, au détriment de la défenderesse, que l'avis des défauts a été donné à temps (cf. Gauch/Carron, op. cit., n. 2168; TF 4D_4/2011 du 1 er avril 2011 c. 3). b) Dans sa réponse du 3 décembre 2008, la défenderesse a soulevé l'exception de prescription. En vertu de l'art. 219 al. 3 CO, l'action en garantie pour les défauts d'un bâtiment se prescrit par cinq ans à compter du transfert de propriété. Il s'agit en principe de la date de l'inscription au registre foncier (art. 656 al. 1 et 972 al. 1 CC). En l'espèce, les acquisitions des demandeurs ont successivement été inscrites au registre foncier entre le 20 octobre et 3 décembre 2003. Le 13 juin 2007, la défenderesse a renoncé à invoquer la prescription; elle a réitéré cette renonciation jusqu'au 30 juin 2009. La première fois que la défenderesse a renoncé à invoquer la prescription, moins de cinq ans s'étaient écoulés depuis les transferts de propriété. Enfin, les demandeurs ont déposé une demande en justice le 18 août 2008, alors que l'interruption courait toujours. Leurs prétentions ne sont dès lors pas prescrites. VII. a) L'art. 205 al. 1 CO permet à l'acheteur d'obtenir, par l'action minutoire, une indemnité pour la moins-value. A contrario , lorsqu'un défaut n'entraîne aucune moins-value, la loi exclut la faculté de réduire le prix (Tercier/Favre, op. cit., nn. 867 ss, p. 128). En outre, si la moins-value est égale au prix de vente, l'acheteur ne peut demander que la résiliation (art. 205 al. 3 CO). La loi vise en effet à empêcher que l'acheteur puisse obtenir la réduction du prix entier tout en conservant la chose (Venturi, op. cit., n. 17 ad art. 205 CO). La moins-value désigne la différence entre la valeur objective de la chose supposée sans défaut et la valeur objective de la chose défectueuse (ATF 105 II 99 c. 4a, JT 1980 I 590; Tercier/Favre, op. cit., n. 870, p. 128; Venturi, op. cit., n. 16 ad art. 205 CO). Selon la jurisprudence et la doctrine majoritaire, la réduction doit être calculée selon la méthode dite relative; celle-ci peut être résumée par la formule suivante (TF 4C.7/2005 du 30 juin 2005 c. 3.2; ATF 116 II 305 c. 4a, JT 1991 I 173; Tercier/Favre, op. cit., nn. 875 ss, pp. 129 ss; Venturi, op. cit., n. 20 ad art. 205 CO) : prix réduit = prix convenu × valeur de la chose défectueuse valeur de la chose sans défaut L'application stricte de la méthode relative se heurte en pratique à la difficulté de fixer la valeur objective de la chose convenue, sans défaut, et la valeur objective de la chose effectivement livrée, avec défaut. Pour éviter ces problèmes, la jurisprudence a établi certaines présomptions; selon l'une d'elles, la valeur de la chose qui aurait dû être livrée est tenue pour égale au prix convenu par les parties (TF 4C.7/2005 du 30 juin 2005 c. 3.2; ATF 116 II 305 c. 4a, JT 1991 I 173; ATF 111 II 162 c. 3b et 3c, rés. in JT 1985 I 587). b) En l'espèce, les demandeurs A.W.________ et B.W.________ ont acheté leur appartement, ainsi qu'une cave et une place de parc intérieure pour le prix de 220'000 francs. Compte tenu de la présomption établie par le Tribunal fédéral, la valeur de la chose sans défaut est présumée identique au prix convenu. Dans son rapport, l'expert estime qu'une place de parc au centre du village des R.________ vaut au moins 25'000 fr. et que la valeur de la place de parc n° 7 doit être réduite à 10'000 fr. au plus. La cour de céans se rallie aux chiffres articulés par l'expert. La valeur de la chose défectueuse s'élève dès lors à 205'000 francs (220'000 fr. ./. [25'000 fr. ./. 10'000 fr.]). Le défaut de la place de parc entraîne par conséquent une moins-value qui doit être réparée à hauteur de 15'000 fr. (220'000 fr. ./. 205'000 fr.). En outre, selon la jurisprudence, font partie des éléments du dommage consécutif au défaut les honoraires d'avocat avant procès, pour autant qu'ils ne soient pas couverts par les dépens alloués en vertu du droit de procédure cantonal et que l'intervention d'un avocat ait été justifiée (ATF 126 III 388 c. 10b, rés. in JT 2002 I 215). En l'espèce, l'activité du conseil des demandeurs A.W.________ relative à la question de la place de parc correspond à deux heures de travail au tarif horaire moyen de 350 fr., soit 700 francs. VIII. Comme on l'a vu ci-dessus (cf. supra c. III.c), parallèlement à l'action sur la garantie pour les défauts, l'acheteur peut réclamer des dommages-intérêts pour le préjudice patrimonial consécutif au défaut qui n'est pas couvert par la voie de la garantie pour les défauts (ATF 133 III 335 c. 2.4.1 et 2.4.4, JT 2010 I 223; ATF 126 III 388 c. 10a). La responsabilité pour le dommage consécutif au défaut est donc une responsabilité pour faute ( TF 4A_472/2010 du 26 novembre 2010 c. 3.2; ATF 116 II 454 c. 2a, JT 1991 I 362 et ATF 116 II 305 c. 2c, JT 1991 I 173, ces deux arrêts concernant le contrat d'entreprise). Le créancier peut exiger de son débiteur la réparation du dommage qui résulte de l'inexécution d'une obligation (art. 97 al. 1 CO). L'absence de tout défaut de la chose vendue ne permet pas d'admettre une responsabilité sur la base de l'art. 97 al. 1 CO (TF 4A_472/2010 c. 2.2 précité). Il incombe au créancier d'établir la violation de l'obligation, le dommage, ainsi que le rapport de causalité entre l'inexécution de l'obligation et le dommage, la faute du débiteur étant présumée ( TF 4A_472/2010 c. 3.2 précité; Weber, Berner Kommentar, Berne 2000, n. 316 ad art. 97 CO; Engel, Traité des obligations en droit suisse, 2 ème éd., pp. 704 s.). Les conditions d'exercice de l'action en garantie des défauts de la chose, soit l'avis des défauts et le délai de prescription qui doivent également être respectés (cf. ATF 133 III 335 c. 2.4.1 et 2.4.4, JT 2010 I 223; ATF 126 III 388 c. 10a), ont déjà été examinés ci-dessus (cf. supra c. VI); la cour de céans ne s'y attarde dès lors pas. En l'espèce, il est établi ci-dessus que les demandeurs auraient dû connaître l'existence du risque d'inondation. Aucune responsabilité sur la base de l'art. 97 al. 1 CO ne peut dès lors être imputée à la défenderesse. Les prétentions des demandeurs pour le dommage consécutif au défaut doivent être rejetées. IX. Le dommage comprend l'intérêt, dit compensatoire, du capital alloué à titre d'indemnité. L'intérêt est dû par celui qui est tenu de réparer le dommage causé à autrui, à partir du moment où ce préjudice est intervenu (Werro, La responsabilité civile, 2 ème , n. 990; Tercier, Le droit des obligations, 4 ème éd., n. 1117, p. 231). Le taux d'intérêt forfaitaire retenu par la jurisprudence par application analogique de l'art. 73 CO est de 5%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Dans le cadre de l'action minutoire, lorsque l'acheteur a déjà payé le prix, sa créance en restitution porte intérêts à partir du moment où le vendeur a reçu le paiement (Venturi, op. cit., n. 26 ad art. 205 CO et la jurisprudence citée). En l'espèce, les demandeurs A.W.________ ont acquis leur appartement de la défenderesse par acte authentique du 17 octobre 2003 et l'acte de transfert de propriété a été signé le même jour. La défenderesse a reçu le paiement ce jour-là également. La créance de 15'000 fr. des demandeurs A.W.________ pour le défaut dont est affecté leur immeuble, en particulier leur place de parc, porte ainsi intérêt à 5 % l'an à partir du 17 octobre 2003. La note d'honoraires de leur conseil y relative date du 20 septembre 2007. La créance de 700 fr. porte donc intérêt à 5 % l'an à partir de cette date. X. a)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En cas de consorité entre les parties, les dépens sont supportés solidairement (Poudret/Haldy/Tappy, op. cit., n. 7.6 ad art. 92 CPC-VD). b) En l'espèce, la conclusion principale des demandeurs étant rejetée, la défenderesse obtient gain de cause pour l'essentiel de sa conclusion en rejet. Elle a donc droit à des dépens réduits d'un dixième, à la charge des demandeurs, solidairement entre eux, qu'il convient d'arrêter à 33'144 fr., savoir : a) 22'500 fr. à titre de participation aux neuf dixièmes des honoraires de son conseil; b) 1'125 fr. pour les débours de celui‑ci; c) 9'519 fr. en remboursement des neuf dixièmes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