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256 vom 1. Januar 2021</w:t>
      </w:r>
    </w:p>
    <w:p>
      <w:r>
        <w:t>VD Tribunal cantonal, 2021-01-01, FR</w:t>
      </w:r>
    </w:p>
    <w:p>
      <w:r>
        <w:rPr>
          <w:b/>
        </w:rPr>
        <w:t xml:space="preserve">Quelle: </w:t>
      </w:r>
      <w:r>
        <w:t>https://mcp.opencaselaw.ch/entscheid/vd_findinfo_256___________</w:t>
      </w:r>
    </w:p>
    <w:p>
      <w:r>
        <w:t>FR: VD_FINDINFO 256 du 1 janvier 2021</w:t>
      </w:r>
    </w:p>
    <w:p>
      <w:r>
        <w:t>IT: VD_FINDINFO 256 del 1 gennaio 2021</w:t>
      </w:r>
    </w:p>
    <w:p>
      <w:pPr>
        <w:pStyle w:val="Heading2"/>
      </w:pPr>
      <w:r>
        <w:t>Regeste</w:t>
      </w:r>
    </w:p>
    <w:p>
      <w:r>
        <w:t>CONCLUSIONS, CONCLUSIONS SUBSIDIAIRES, MAXIME OFFICIELLE | 296 al. 3 CPC (CH), 317 al. 2 CPC (CH), 20 TDC, 6 TDC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Formé en temps utile par une partie qui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3.1</w:t>
      </w:r>
    </w:p>
    <w:p>
      <w:r>
        <w:t>La première question à résoudre est celle de la recevabilité des conclusions de l’appel, laquelle est contestée par l’intimé. Celui-ci expose que l’acte porterait sur l’examen de conclusions subsidiaires prises par l’appelante en première instance et soutient qu’il n’existerait aucun intérêt à l’appel, dans la mesure où la requête de mesures provisionnelles a été rejetée et ce en conformité avec les conclusions prises par l’appelante à titre principal.</w:t>
      </w:r>
    </w:p>
    <w:p>
      <w:r>
        <w:rPr>
          <w:b/>
        </w:rPr>
        <w:t>E. 3.2</w:t>
      </w:r>
    </w:p>
    <w:p>
      <w:r>
        <w:t>La prise de conclusions nouvelles en appel doit être admise restrictivement, car elle porte atteinte au principe du double degré de juridiction (Jeandin, Commentaire romand, CPC, Bâle 2019, 2 e éd. , nn. 10-12 ad art. 317 al. 2 CPC) .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Cette limitation ne vaut pas lorsque la maxime d’office est applicable, les conclusions des parties n’étant alors que des propositions qui ne lient pas le juge (Juge délégué CACI 10 novembre 2014/586 ; CACI 6 avril 2021/168). Il est cependant très majoritairement admis que cette faculté ne permet en aucun cas à un défendeur qui n'a pas pris de conclusions actives en première instance de prendre des conclusions reconventionnelles pour la première fois en appel (CACI 4 juillet 2018/410 ; CACI 16 novembre 2022/573 ; Juge unique CACI 23 février 2023/82 ; CACI 22 mai 2023/204). De manière générale, l’appel doit porter sur le même objet que la procédure de première instance. Ainsi, lorsque la procédure en première instance ne concerne que les contributions d’entretien, l’appelant ne saurait aller au-delà de l’objet du litige ainsi fixé, malgré l’application de la maxime d’office, et prendre pour la première fois en appel des conclusions sur la garde de l’enfant, d’autant que ces conclusions ne sont pas l’accessoire des conclusions initiales (Juge unique CACI 24 mars 2023/129). Ont également été jugées irrecevables en appel les conclusions d’un appelant tendant à ce qu’il soit constaté que l’autorité parentale sur l’enfant soit exercée conjointement par les parents, alors qu’il n’avait pris en première instance aucune conclusion concernant l’autorité parentale (Juge unique CACI 2 novembre 2023/444).</w:t>
      </w:r>
    </w:p>
    <w:p>
      <w:r>
        <w:rPr>
          <w:b/>
        </w:rPr>
        <w:t>E. 3.3</w:t>
      </w:r>
    </w:p>
    <w:p>
      <w:r>
        <w:t>Les conclusions subsidiaires sont éventuelles par rapport aux conclusions principales, le tribunal ne devant les trancher que s’il rejette les conclusions principales (ATF 119 II 208 consid. 3cc ; TF 2C_738/2014 consid 4.4.2, cité in Bohnet, CPC annoté, Neuchâtel 2022, n. 7 ad art. 91 ; Hohl, Procédure civile, T. I, 2 e éd., Berne 2016, n. 442).</w:t>
      </w:r>
    </w:p>
    <w:p>
      <w:r>
        <w:rPr>
          <w:b/>
        </w:rPr>
        <w:t>E. 3.4</w:t>
      </w:r>
    </w:p>
    <w:p>
      <w:r>
        <w:t>En l’espèce, le premier juge a considéré que la condition d’un changement de circonstance durable n’était pas remplie et a rejeté la requête de mesures provisionnelles déposée le 21 novembre 2022 par l’intimé. Elle a retenu que les faits sur lesquels l’intimé s’appuyait dans son écriture n’étaient en réalité pas nouveaux, dans la mesure où celui-ci avait déjà allégué que l’appelante percevait des revenus locatifs réguliers de la location de sa propriété sise en [...] lors de la procédure de mesures protectrices de l’union conjugale – dont la cause avait été portée en appel devant le Juge unique de la Cour d’appel civile et jugée par arrêt du 23 mars 2020. Ce faisant, la présidente a fait droit aux conclusions principales de l’appelante en première instance, laquelle avait conclu au rejet de la requête de mesures provisionnelles. C’est uniquement à titre subsidiaire, soit pour le cas où ses conclusions principales en rejet n’étaient pas admises, que l’appelante, lors même qu’elle était assistée d’un conseil, avait conclu à l’augmentation des pensions. Dans ces conditions, l’appelante, qui n’avait pas elle-même déposé de requête en modification de l’ordonnance de mesures protectrices de l’union conjugale du 11 décembre 2019, telle que réformée par l’arrêt du 23 mars 2019 du Juge délégué de la Cour d’appel civile, et qui n’a pas conclu à titre principal à la modification de cette ordonnance, ne saurait, en appel, conclure à l’adjudication des conclusions qu’elle a prise, parfaitement clairement à titre subsidiaire en première instance. En effet, c’est uniquement pour le cas où ses conclusions principales seraient rejetées que l’appelante avait conclu à l’augmentation des contributions d’entretien dues en sa faveur et celle de sa fille. Or, la présidente a fait droit à ses conclusions principales, qui visaient au rejet de la requête de l’intimé. Il s’ensuit que les conclusions prises en appel, dans la mesure où elles tendent à l’augmentation de la pension due en faveur de l’appelante, sont irrecevables.</w:t>
      </w:r>
    </w:p>
    <w:p>
      <w:r>
        <w:rPr>
          <w:b/>
        </w:rPr>
        <w:t>E. 3.5</w:t>
      </w:r>
    </w:p>
    <w:p>
      <w:r>
        <w:t>Il en va de même des conclusions prises en appel concernant la contribution d’entretien en faveur de l’enfant des parties. Selon l’art. 296 al. 3 CPC, le tribunal n’est pas lié par les conclusions des parties. La maxime d’office s’applique à toutes les procédures applicables aux enfants dans les affaires du droit de la famille selon le titre 7 de la deuxième partie du CPC, y compris en mesures protectrices de l’union conjugale (TF 5A_524/2017 du 9 octobre 2017 consid. 3.1, in RSPC 2018 16). La maxime d’office prévaut alors également devant l’instance de recours cantonale (ATF 137 III 617 consid. 4.5.2). Le Tribunal fédéral a toutefois considéré que l’art. 296 al. 3 CPC ne s’appliquait pas aux demandes d’entretien d’un enfant majeur, une protection procédurale accrue ne se justifiant pas dans une telle hypothèse (TF 5A_524/2017 précité consid. 3.1 citant l’ATF 118 II 93 consid. 1a ; Haldy, in Bohnet et alii (éd.), Code de procédure civile commenté, n. 10 ad art. 58 CPC ; Breitschmid, in Basler Kommentar, Zivilgesetzbuch I, 5 e éd., 2014, n 24 ad art. 277 CC). Lorsque la majorité de l’enfant survient au cours d’une procédure matrimoniale, notamment de mesures protectrices de l’union conjugale, il n’apparaît pas arbitraire de considérer que, n’étant pas partie à la procédure, l’enfant majeur doit dans ce cas bénéficier, comme l’enfant mineur, d’une protection procédurale accrue et, partant, d’admettre que la maxime d’office continue de s’appliquer au-delà de la majorité (TF 5A_524/2017 précité consid. 3.2.2, in RSPC 2018 16 ; Piotet, in Commentaire romand, Code civil I, 2010, n 9 ad art. 280 aCC).</w:t>
      </w:r>
    </w:p>
    <w:p>
      <w:r>
        <w:rPr>
          <w:b/>
        </w:rPr>
        <w:t>E. 3.6</w:t>
      </w:r>
    </w:p>
    <w:p>
      <w:r>
        <w:t>Dans le cas d’espèce, L.________, qui a consenti par procuration du 15 août 2023, à ce que sa mère agisse en son nom et pour son compte dans la défense de ses intérêts dans le cadre de la procédure en divorce de ses parents, a atteint l’âge de dix-huit ans le [...] 2022. Sa majorité n’est pas survenue au cours de la procédure provisionnelle, introduite le 21 novembre 2022 par l’intimé, mais plus de cinq mois auparavant. La maxime d’office ne s’appliquait donc pas aux conclusions concernant la contribution d’entretien en sa faveur. Cela étant, le même raisonnement que celui concernant la contribution d’entretien en faveur de l’appelante s’applique. L’appelante a obtenu gain de cause sur ses conclusions principales, lesquelles tendaient au rejet de la requête déposée par l’intimée. Elle ne saurait requérir l’examen, par le juge d’appel, des conclusions prises à titre subsidiaire au pied de son procédé écrit du 8 mars 2023. La conclusion de l’appelante tendant à la réforme de l’ordonnance de mesures protectrices de l’union conjugale du 11 décembre 2019, en ce sens que la contribution d’entretien en faveur de L.________ soit augmentée, est donc également irrecevable.</w:t>
      </w:r>
    </w:p>
    <w:p>
      <w:r>
        <w:rPr>
          <w:b/>
        </w:rPr>
        <w:t>E. 4.1</w:t>
      </w:r>
    </w:p>
    <w:p>
      <w:r>
        <w:t>L’appelante critique la répartition des frais et dépens effectuée par la présidente en première instance, laquelle a considéré que les frais judiciaires, arrêtés à 1'000 fr., devaient être répartis par moitié entre les parties et que les dépens seraient compensés, chaque partie ayant chacune succombé sur l’entier de ses conclusions.</w:t>
      </w:r>
    </w:p>
    <w:p>
      <w:r>
        <w:rPr>
          <w:b/>
        </w:rPr>
        <w:t>E. 4.2</w:t>
      </w:r>
    </w:p>
    <w:p>
      <w:r>
        <w:t>Les frais – qui comprennent les frais judiciaires et les dépens (art. 95 al. 1 CPC) – sont fixés et répartis d’office (art. 105 al. 1 CPC), selon le tarif des frais cantonal (art. 96 CPC). Aux termes de l’art. 106 al. 1 CPC, les frais sont mis à la charge de la partie succombante. Par partie succombante, il faut entendre la partie qui perd le procès au sens courant, soit le demandeur dont les prétentions sont rejetées ou écartées, ou le défendeur qui est condamné dans le sens demandé par son adversaire (Stoudmann, in Chabloz et al. [édit.], Petit commentaire, Code de procédure civile, Bâle 2020, n. 3 ad art. 106 CPC). En règle générale, la partie succombante doit verser à la partie victorieuse tous les frais nécessaires causés par le litige (art. 37 al. 2 CDPJ [Code de droit privé judiciaire vaudois du 12 janvier 2010 ; BLV 211.02]), les dépens étant fixés selon le tarif cantonal (art. 105 al. 2 in principio CPC), soit le TDC (tarif des dépens en matière civile du 23 novembre 2010 ; BLV 270.11.6).</w:t>
      </w:r>
    </w:p>
    <w:p>
      <w:r>
        <w:rPr>
          <w:b/>
        </w:rPr>
        <w:t>E. 4.3</w:t>
      </w:r>
    </w:p>
    <w:p>
      <w:r>
        <w:t>En l’occurrence, c’est à tort que la présidente a réparti les frais de la cause par moitié et compensé les dépens. Comme on l’a vu, les conclusions principales des parties concernaient uniquement la requête de mesures provisionnelles de l’intimé du 21 novembre 2022, laquelle a été rejetée. Partant, les frais judiciaires de première instance auraient dû être exclusivement mis à la charge de l’intimé, et l’appelante aurait dû au surplus se voir allouer de pleins dépens, ceux‑ci pouvant être estimés à 4’000 fr., au regard de l’ampleur de la procédure (art. 6 al. 1 et 20 al. 2 TDC). L’ordonnance doit être réformée aux chiffres II et III de son dispositif dans le sens de ce qui précède.</w:t>
      </w:r>
    </w:p>
    <w:p>
      <w:r>
        <w:rPr>
          <w:b/>
        </w:rPr>
        <w:t>E. 5</w:t>
      </w:r>
    </w:p>
    <w:p>
      <w:r>
        <w:t>Avec l’appelante, il y a enfin lieu de constater que la présidente a omis de statuer sur la conclusion en octroi d’une provisio ad litem formulée par l’intéressée en première instance. Compte tenu des considérations qui précèdent, cette omission est toutefois sans portée. En effet, dans la mesure où l’appelante obtient de pleins dépens pour la procédure provisionnelle, il n’est pas nécessaire de lui octroyer pour la même procédure une provisio ad litem , dont on relèvera d’ailleurs que le montant avancé est excessif. On relèvera à ce propos que l’appelante a conclu au versement d’un montant de 5'000 fr. à titre de dépens de première instance, et à un montant de 15'000 fr. à titre de provisio ad litem pour la procédure provisionnelle uniquement, ce qui est contradictoire. La provisio ad litem n’est en effet pas réclamée pour les deux instances, puisque l’appelante conclut à ce que l’ordonnance soit réformée en ce sens. L’eût-elle été que cette requête aurait dû être rejetée. L’appelante, qui a un revenu de 9'750 fr. par mois, dispose par ailleurs de plus de 60’000 fr. sans compter ses biens immobiliers en [...].</w:t>
      </w:r>
    </w:p>
    <w:p>
      <w:r>
        <w:rPr>
          <w:b/>
        </w:rPr>
        <w:t>E. 6</w:t>
      </w:r>
    </w:p>
    <w:p>
      <w:r>
        <w:t>En définitive, l’appel sera très partiellement admis. Le chiffre I du dispositif de l’ordonnance de mesures provisionnelles du 10 octobre 2023 sera rectifié en ce sens – puisque l’appelante n’a pas pris de conclusions reconventionnelles à titre principal – que la requête de mesures provisionnelles déposée le 21 novembre 2022 par l’intimé est rejetée. Les chiffres II et III du dispositif l’ordonnance entreprise seront également réformés, en ce sens que les frais judiciaires de première instance seront mis à la charge de l’intimé et que celui-ci versera à l’appelante la somme de 4’000 fr. à titre de dépens de première instance. En deuxième instance, l’intimé obtient gain de cause pour l’essentiel, au contraire de l’appelante qui n’obtient gain de cause que dans une mesure minime, soit sur les frais judiciaires et les dépens de première instance. Ainsi, les frais judiciaires de deuxième instance, arrêtés à 1'200 fr. (art. 65 al. 2 et 4 TFJC [tarif des frais judiciaires civils du 28 septembre 2010 ; BLV 270.11.5]), seront mis à la charge de l’appelante, qui succombe (art. 106 al. 1 CPC). L’appelante versera au surplus la somme de 2'000 fr. à l’intimé à titre de dépens de deuxième instance (art. 7 al. 1 et 20 al. 2 TDC). Par ces motifs, le Juge unique de la Cour d’appel civile prononce : I. L’appel est très partiellement admis. II. Les chiffres I à III du dispositif de l’ordonnance de mesures provisionnelles rendue le 10 octobre 2023 par la Présidente du Tribunal civil de l’arrondissement de l’Est vaudois sont rectifiés, respectivement réformés comme il suit : « I. rejette la requête de mesures provisionnelles déposée le 21 novembre 2022 par I.________ ; II. arrête les frais de la procédure provisionnelle à 1'000 fr. (mille francs) et les met à la charge d’I.________ ; III. dit qu’I.________ versera à E.________ la somme de 4'000 fr. (quatre mille francs) à titre de dépens ; » L’ordonnance est confirmée pour le surplus. III. Les frais judiciaires de deuxième instance, arrêtés à 1’200 fr. (mille deux cents francs), sont mis à la charge de l’appelante E.________. IV. L’appelante E.________ versera à l’intimé I.________ la somme de 2'000 fr. (deux mille francs) à titre de dépens de deuxième instance. V. L’arrêt est exécutoire. Le juge unique :               La greffière : Du Le présent arrêt, dont la rédaction a été approuvée à huis clos, est notifié en expédition complète à : ‑ Me Xavier Diserens (pour E.________), ‑ Me Elie Elkaim (pour I.________).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