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244/II vom 7. Dezember 2009</w:t>
      </w:r>
    </w:p>
    <w:p>
      <w:r>
        <w:t>VD Tribunal cantonal, 2009-12-07, FR</w:t>
      </w:r>
    </w:p>
    <w:p>
      <w:r>
        <w:rPr>
          <w:b/>
        </w:rPr>
        <w:t xml:space="preserve">Quelle: </w:t>
      </w:r>
      <w:r>
        <w:t>https://mcp.opencaselaw.ch/entscheid/vd_findinfo_244_II</w:t>
      </w:r>
    </w:p>
    <w:p>
      <w:r>
        <w:t>FR: VD_FINDINFO 244/II du 7 décembre 2009</w:t>
      </w:r>
    </w:p>
    <w:p>
      <w:r>
        <w:t>IT: VD_FINDINFO 244/II del 7 dicembre 2009</w:t>
      </w:r>
    </w:p>
    <w:p>
      <w:pPr>
        <w:pStyle w:val="Heading2"/>
      </w:pPr>
      <w:r>
        <w:t>Regeste</w:t>
      </w:r>
    </w:p>
    <w:p>
      <w:r>
        <w:t>DÉTENTION AUX FINS D'EXPULSION | 76 al. 1 let. b ch. 3 LEtr, 76 al. 1 let. b ch. 4 LEtr, 80 al. 1 LEtr, 80 al. 6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w:t>
      </w:r>
    </w:p>
    <w:p>
      <w:r>
        <w:rPr>
          <w:b/>
        </w:rPr>
        <w:t>E. 2</w:t>
      </w:r>
    </w:p>
    <w:p>
      <w:r>
        <w:t>La Juge de paix du district de Lausanne, autorité compétente selon les art. 11 et 17 LVLEtr, a procédé à l'audition du recourant le 22 octobre 2009, soit dans les vingt-quatre heures dès le moment où le recourant a été arrêté, et a immédiatement rendu un ordre de détention, puis sa décision motivée dans les nonante-six heures (art. 16 al. 1 LVLEtr). Les propos du recourant ont été mentionnés dans le procès-verbal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remplit les conditions de l'art. 76 al. 1 let. b ch. 3 et 4 LEtr. Il est dépourvu d'une autorisation de séjour et n'a pas respecté le délai de départ qui lui avait été imparti au 31 mars 2000. En outre, il n'a pas collaboré à l'obtention de documents d'identité et il a exprimé à réitérées reprises son refus catégorique de rentrer chez lui en refusant de signer des déclarations de retour volontaire. Sa ferme résolution de demeurer en Suisse s'est encore manifestée à l'audience du Juge de paix du 22 octobre 2009 et s'est concrétisée dans son opposition à prendre le vol de retour qui lui était réservé pour le 23 novembre 2009. Ces éléments constituent un faisceau d'indices concrets et suffisants de sa volonté de se soustraire au renvoi. En matière de restrictions aux libertés, le principe de la proportionnalité exige un rapport raisonnable entre le but d'intérêt public visé, le moyen choisi pour l'atteindre et la liberté impliquée (Auer/Malinvertni/Hottelier, Droit constitutionnel suisse, volume II : Les droits fondamentaux, 2 ème éd., Berne 2006 n° 226, p. 107). En l'occurrence, le recourant conteste la règle de la nécessité, déduite du principe, selon laquelle la mesure restrictive en cause ne doit pas seulement s'avérer apte à produire le résultat escompté, mais doit encore être la seule à même de le faire, à l'exclusion d'autres, plus respectueuses des libertés, qui seraient aussi efficaces (Auer et alii, op. cit., n° 232, p. 209-210). Le recourant soutient que l'assignation d'un lieu de résidence suffirait à assurer son renvoi, sans que sa mise en détention ne soit nécessaire. En réalité si, jusqu'à son interpellation, le recourant n'a pas disparu dans la clandestinité, cela ne signifie pas qu'il ne le fera pas s'il voit dans cette possibilité le seul moyen d'éviter de devoir quitter la Suisse. En effet, le recourant a clairement manifesté son insoumission en ignorant systématiquement les injonctions de collaboration et les ordres de renvoi que lui ont adressés les autorités d'asile et de police des étrangers. Dans ce contexte, rien n'indique qu'un ordre de demeurer à disposition, dans le même objectif d'exécution du renvoi, serait mieux respecté. La mise en détention ne viole ainsi pas le principe de la proportionnalité, une assignation à résidence, mesure impliquant une forme d'obéissance et donc de collaboration qui fait totalement défaut en l'espèce, apparaissant d'emblée impropre à assurer le départ forcé du recourant. De plus, selon l'art. 74 al. 1 let b LEtr, l'assignation d'un lieu de résidence vise notamment l'hypothèse d'un étranger frappé d'une décision exécutoire de renvoi ou d'expulsion qui n'a pas respecté le délai imparti pour quitter le territoire, alors que la détention en vue du renvoi ou de l'expulsion de l'art. 76 al. 1 LEtr vise l'hypothèse distincte de l'exécution proprement dite du renvoi à bref délai. Les démarches nécessaires à l'exécution du renvoi sont en cours, sous la forme d'une demande de vol spécial, si bien que l'exigence de l'art. 76 al. 4 LEtr est respectée. L'exécution du renvoi ne s'avère pas d'emblée impossible pour des raisons juridiques ou matérielles (art. 80 al. 6 let. a LEtr a contrario) et elle devrait avoir lieu dans un délai raisonnable.</w:t>
      </w:r>
    </w:p>
    <w:p>
      <w:r>
        <w:rPr>
          <w:b/>
        </w:rPr>
        <w:t>E. 4</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7 décembre 2009 Le dispositif de l'arrêt qui précède est communiqué par écrit aux intéressés. La greffière : Du L'arrêt qui précède, dont la rédaction a été approuvée à huis clos, est notifié en expédition complète, par l'envoi de photocopies, à : ‑      M e Luc Recordon (pour A.________),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