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243/II vom 29. November 2010</w:t>
      </w:r>
    </w:p>
    <w:p>
      <w:r>
        <w:t>VD Tribunal cantonal, 2010-11-29, FR</w:t>
      </w:r>
    </w:p>
    <w:p>
      <w:r>
        <w:rPr>
          <w:b/>
        </w:rPr>
        <w:t xml:space="preserve">Quelle: </w:t>
      </w:r>
      <w:r>
        <w:t>https://mcp.opencaselaw.ch/entscheid/vd_findinfo_243_II</w:t>
      </w:r>
    </w:p>
    <w:p>
      <w:r>
        <w:t>FR: VD_FINDINFO 243/II du 29 novembre 2010</w:t>
      </w:r>
    </w:p>
    <w:p>
      <w:r>
        <w:t>IT: VD_FINDINFO 243/II del 29 novembre 2010</w:t>
      </w:r>
    </w:p>
    <w:p>
      <w:pPr>
        <w:pStyle w:val="Heading2"/>
      </w:pPr>
      <w:r>
        <w:t>Regeste</w:t>
      </w:r>
    </w:p>
    <w:p>
      <w:r>
        <w:t>MODÉRATION, HONORAIRES, AVOCAT, DÉCOMPTE{SENS GÉNÉRAL}, RÉDUCTION{EN GÉNÉRAL} | 12 let. i LLCA, 45 al. 1 LPAv, 48 LPAv, 50 al. 1 LPAv, 51 LPAv</w:t>
      </w:r>
    </w:p>
    <w:p>
      <w:pPr>
        <w:pStyle w:val="Heading2"/>
      </w:pPr>
      <w:r>
        <w:t>Erwägungen</w:t>
      </w:r>
    </w:p>
    <w:p>
      <w:r>
        <w:rPr>
          <w:b/>
        </w:rPr>
        <w:t>E. 1</w:t>
      </w:r>
    </w:p>
    <w:p>
      <w:r>
        <w:t>a) Selon l'art. 50 LPAv (loi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La procédure est régie par la LPA-VD (loi du 28 octobre 2008 sur la procédure administrative, RSV 173.36; art. 117 LPA-VD). Selon les art. 77 et 79 al. 1 LPA-VD - applicables par renvoi de l'art. 99 LPA-VD - et l'art. 51 LPAv, le délai de recours est de trente jours, l'acte de recours devant être signé et indiquer les conclusions et motifs du recours. b) Interjeté en temps utile, le recours est recevable. Tel n'est en revanche pas le cas de la lettre de la recourante du 4 octobre 2010 ni du mémoire qu'elle a déposé le 22 novembre 2010, dans le délai imparti uniquement à l'intimé, dès lors que le recours doit être immédiatement motivé.</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La recourante fait valoir que l'intimé a mal, voire pas exécuté son mandat, et qu'il a au demeurant résilié celui-ci en temps inopportun.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14 juin 2010/117 et les réf. citées).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1184-1185). Les griefs susmentionnés de la recourante sont en conséquence irrecevables dans le cadre de la présente procédure de modération.</w:t>
      </w:r>
    </w:p>
    <w:p>
      <w:r>
        <w:rPr>
          <w:b/>
        </w:rPr>
        <w:t>E. 4</w:t>
      </w:r>
    </w:p>
    <w:p>
      <w:r>
        <w:t>a) La recourante exige la production d'un décompte d'honoraires plus détaillé que celui déposé par l'intimé le 20 août 2009. Elle demande en particulier que toutes les opérations soient datées, que les opérations multiples englobées dans une totalisation soient clarifiées individuellement en indiquant la date de l'envoi, le motif de l'intervention, le nom du destinataire et le temps consacré à chaque opération, sans omettre les conférences téléphoniques prises individuellement. b/aa)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Bulletin du Grand Conseil [BGC], séance du 3 septembre 2002, p. 2524). En matière de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1e; voir aussi TF 4P.342/2006 du 5 mars 2007 c. 4.1 et les arrêts cités). A cet égard, la jurisprudence, se fondant sur l'art. 36 LB, admettait que les avocats n'ont pas l'obligation de tenir un décompte des heures consacrées à l'exécution de leur mandat (JT 2006 III 38 et 2003 III 67 précités; Jomini, Les honoraires et débours de l'avocat vaudois et leur modération, in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 avocats; RS 935.61). Ce dernier article dispose que l'avocat informe son client des modalités de facturation et le renseigne périodiquement ou à sa demande sur le montant des honoraires dus. La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 7.2.1 et 7.2.3; Bohnet/Martenet, op. cit., n° 1785, pp. 733-734, et n° 2836, p. 1126; Fellmann, Kommentar zum Anwaltsgesetz, Fellmann/Zindel Hrsg, 2005, n. 172 ad art. 12 LLCA, pp. 200-201). La jurisprudence de la Chambre des recours, fondée sur l'art. 36 LB, n'est ainsi plus d'actualité, ce que la cour de céans a déjà relevé dans des arrêts récents (CREC II 19 janvier 2010/18; CREC II 8 octobre 2009/198). bb)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 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 c) En l'occurrence, l'intimé a produit une liste relativement détaillée de ses opérations, avec mention du temps consacré à celles-ci. Il est cependant vrai qu'il a indiqué d'une manière globale le temps consacré à trois conférences avec la cliente, par quatre heures et cinquante-cinq minutes, sans préciser la date et le temps consacré à chacune de ces conférences. De même, il a indiqué une durée globale de trois heures et quarante minutes pour douze conférences téléphoniques «avec cliente, le Préposé et le substitut de l'OP-Montreux, l'inspecteur [...] de la [...] et l'expert [...]», ainsi que quatre heures et cinq minutes pour la rédaction de quarante-deux correspondances et courriels divers. Dans un arrêt récent, la Chambre des recours a admis que le degré de précision était suffisant pour permettre une appréciation circonstanciée du juge modérateur, lorsque l'avocat avait indiqué globalement la durée pour la journée, lors même qu'il y avait plusieurs opérations le même jour (CREC II 11 octobre 2010/206). Dans un autre arrêt, la cours de céans a également considéré comme suffisamment précis le décompte qui, s'il ne détaillait pas chaque activité et le temps qui lui avait été consacré, mentionnait le temps utilisé pour chaque opération importante, le nombre d'échanges de correspondances et de courriels, ainsi que le temps global pour ces échanges de correspondances et les téléphones (CREC II 19 janvier 2010/18). La réalité des quarante-deux correspondances et courriels est en l'espèce attestée par les pièces figurant au dossier. Le temps qui y a été consacré, par quatre heures et cinq minutes, savoir moins de dix minutes par courrier, est admissible. Même si leur date précise n'est pas indiquée, les douze téléphones, pour une durée totale de trois heures et quarante minutes, représentent dix-huit minutes par appel, ce qui est acceptable en présence d'une cliente manifestement prolixe au vu de ses écritures. Ni les trois conférences, ni leur durée totale, ne sont par ailleurs remises en cause, lors même que la recourante avait été invitée par le premier juge, par courrier du 1 er septembre 2009, à contester précisément l'existence ou la durée de certaines opérations, ce qu'elle était sans autres en mesure de faire pour les conférences qu'elle a eues avec l'intimé. On peut donc considérer les opérations et leur durée comme établies, même si une plus grande précision de la liste des opérations aurait été souhaitable. La note d'honoraires et de débours apparaît encore admissible en l'occurrence, sans qu'il soit nécessaire d'interpeller l'intimé à cet égard et de la lui faire compléter. Ainsi, le prononcé, en tant qu'il retient l'entier du temps consacré aux conférences, téléphones et correspondances, peut être confirmé. Il en va de même du tarif horaire de 380 fr. pratiqué par l'intimé, compte tenu de son expérience et de la complexité de la cause.</w:t>
      </w:r>
    </w:p>
    <w:p>
      <w:r>
        <w:rPr>
          <w:b/>
        </w:rPr>
        <w:t>E. 5</w:t>
      </w:r>
    </w:p>
    <w:p>
      <w:r>
        <w:t>a) Le premier juge a modéré globalement à 11'000 fr., TVA non comprise, la note de l'intimé de 14'030 fr. 75, hors TVA, en invoquant d'une part que le temps indiqué pour la prise de connaissance des pièces remises par la cliente, par treize heures et trente-deux minutes, était excessif et, d'autre part, qu'il y avait lieu de réduire la note en raison de l'insuffisance des provisions requises. Il n'a pas pondéré séparément les facteurs de réduction, ce qu'il convient de faire dans le présent arrêt. b) C'est à juste titre que la présidente du tribunal d'arrondissement a considéré que les treize heures et trente-deux minutes invoquées pour la prise de connaissance des pièces remises par la recourante et des correspondances reçues de celle-ci étaient excessives. On peut retenir dix heures de ce chef, ce qui justifie une réduction de la note d'honoraires de 1'330 fr. (3,5 h x 380 fr.). c/aa) L'art. 12 let. i LLCA prévoit que l'avocat, lorsqu'il accepte un mandat, informe son client des modalités de facturation et le renseigne périodiquement ou à sa demande sur le montant des honoraires dus. La formulation de cette norme a été quelque peu modifiée lors des débats parlementaires par rapport au projet, mais sans en dénaturer la portée (cf. art. 11 let. i du projet qui prévoyait que l'avocat "renseigne périodiquement son client sur le montant des honoraires dus"; Feuille fédérale [FF] 1999, pp. 5391-5392). En ce qui concerne les honoraires, le message du Conseil fédéral relève que la LLCA renonce à imposer aux cantons une réglementation uniforme en matière d'honoraires (FF 1999, p. 5356). Par rapport à l'art. 11 let. i du projet, le Conseil fédéral signale aussi que l'obligation de renseigner existe dans certains cantons sous la forme d'une disposition qui enjoint l'avocat de demander des provisions suffisantes au fur et à mesure de l'affaire (FF 1999, p. 5371). Lors des débats parlementaires, la possibilité pour le client d'obtenir une réduction des honoraires en cas de défaut d'information de l'avocat sur sa facturation a expressément été rappelée (Bulletin officiel du Conseil des Etats [BO-CE] 1999, p. 1172). La LPAv est muette sur la question de la provision. Selon la jurisprudence, l'avocat qui n'exige pas une provision suffisante pour se couvrir, ou, à ce défaut, qui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de son mandataire (JT 2006 III 38; JT 2003 III 67; JT 1990 III 66). bb) Contrairement à ce que soutient l'intimé, rien ne permet de considérer que la recourante serait rompue aux affaires. La manière dont elle a agi seule dans une procédure d'expropriation complexe démontre le contraire. Elle n'était pas à même de se représenter par elle-même la valeur du travail intellectuel de son mandataire. Au surplus, il était d'autant plus important pour la recourante de connaître l'ampleur des frais auxquels elle s'exposait qu'elle dispose de moyens financiers modestes. Ainsi, c'est à juste titre que le premier juge a opéré une réduction de la note du fait que l'avocat n'avait requis qu'une provision de 3'000 fr., sur une note d'honoraires et de débours de 15'097 fr. 05, TVA comprise, sans même indiquer à la cliente l'évolution de sa facture au vu de ses opérations. cc) La Chambre des recours a admis une réduction d'un tiers des honoraires facturés dans le cas d'un avocat ayant demandé des provisions à hauteur de 3'000 fr. sur une note d'honoraires totale de 10'300 fr. (CREC II 16 juin 2008/109) ou des provisions de 8'500 fr. sur une note de 34'000 fr. (CREC II 24 février 2009/26). La réduction a été de 50% sur une note d'environ 36'000 fr., en l'absence de toute demande de provision (C. mod., 6 juin 2005, n° 3). Dans une affaire concernant l'intimé, la cour de céans a récemment réduit de 30% une note de l'ordre de 15'000 fr., alors que l'avocat n'avait pas requis de provision, mais pratiqué un tarif horaire inférieur à la moyenne (CREC II 14 juin 2010/117). En l'espèce, il apparaît justifié de réduire la note litigieuse d'un tiers. d) En définitive, la note d'honoraires et de débours établie le 27 janvier 2009 par l'intimé doit être ramenée au montant arrondi de 8'467 fr. ([14'030 fr. 75 – 1'330 fr.] x 2/3), hors TVA.</w:t>
      </w:r>
    </w:p>
    <w:p>
      <w:r>
        <w:rPr>
          <w:b/>
        </w:rPr>
        <w:t>E. 6</w:t>
      </w:r>
    </w:p>
    <w:p>
      <w:r>
        <w:t>En conclusion, le recours doit être partiellement admis et le prononcé réformé au chiffre I de son dispositif en ce sens que le montant des honoraires et débours dus par la recourante à l'intimé est arrêté à 8'467 fr., TVA non comprise, dont à déduire la provision de 3'000 fr. déjà versée, le prononcé étant confirmé pour le surplus. Les frais de deuxième instance de la recourante sont arrêtés à 150 fr. (art. 249 TFJC [tarif du 4 décembre 1984 des frais judiciaires en matière civile; RSV 270.11.5]). Obtenant partiellement gain de cause, la recourante a droit à des dépens de deuxième instance réduits. Dès lors qu'elle a agi sans l'aide d'un mandataire professionnel, ceux-ci sont fixés à 50 fr., en remboursement d'un tiers de ses frais de justice. Par ces motifs, la Chambre des recours du Tribunal cantonal, statuant à huis clos, prononce : I. Le recours est partiellement admis. II. Le prononcé est réformé au chiffre I de son dispositif comme il suit: I.- arrête à 8'467 fr. (huit mille quatre cent soixante-sept francs), TVA non comprise, le montant des honoraires et débours dus par G.________ à Me R.________, dont à déduire la provision de 3'000 fr. (trois mille francs) déjà versée. Le prononcé est confirmé pour le surplus. III. Les frais de deuxième instance de la recourante sont arrêtés à 150 fr. (cent cinquante francs). IV. L'intimé R.________ doit verser à la recourante G.________ la somme de 50 fr. (cinquante francs) à titre de dépens de deuxième instance. V. L'arrêt motivé est exécutoire. Le président :               La greffière : Du 29 novembre 2010 Le dispositif de l'arrêt qui précède est communiqué par écrit aux intéressés. La greffière : Du L'arrêt qui précède, dont la rédaction a été approuvée à huis clos, est notifié en expédition complète, par l'envoi de photocopies, à : ‑ Mme G.________, ‑ Me R.________.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