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235 vom 19. Januar 2022</w:t>
      </w:r>
    </w:p>
    <w:p>
      <w:r>
        <w:t>VD Tribunal cantonal, 2022-01-19, FR</w:t>
      </w:r>
    </w:p>
    <w:p>
      <w:r>
        <w:rPr>
          <w:b/>
        </w:rPr>
        <w:t xml:space="preserve">Quelle: </w:t>
      </w:r>
      <w:r>
        <w:t>https://mcp.opencaselaw.ch/entscheid/vd_findinfo_235___________</w:t>
      </w:r>
    </w:p>
    <w:p>
      <w:r>
        <w:t>FR: VD_FINDINFO 235 du 19 janvier 2022</w:t>
      </w:r>
    </w:p>
    <w:p>
      <w:r>
        <w:t>IT: VD_FINDINFO 235 del 19 gennaio 2022</w:t>
      </w:r>
    </w:p>
    <w:p>
      <w:pPr>
        <w:pStyle w:val="Heading2"/>
      </w:pPr>
      <w:r>
        <w:t>Regeste</w:t>
      </w:r>
    </w:p>
    <w:p>
      <w:r>
        <w:t>INJURE, MENACE{DROIT PÉNAL}, VIOLENCE CONTRE LES AUTORITÉS, DIRECTIVE{INJONCTION} | 106 CP, 177 al. 1 CP, 180 al. 1 CP, 180 al. 2 let. a CP, 285 ch. 1 CP, 66a al. 2 CP, 94 CP, 25 LContr</w:t>
      </w:r>
    </w:p>
    <w:p>
      <w:pPr>
        <w:pStyle w:val="Heading2"/>
      </w:pPr>
      <w:r>
        <w:t>Erwägungen</w:t>
      </w:r>
    </w:p>
    <w:p>
      <w:r>
        <w:rPr>
          <w:b/>
        </w:rPr>
        <w:t>E. 1</w:t>
      </w:r>
    </w:p>
    <w:p>
      <w:r>
        <w:t>Interjeté dans les formes et délais légaux (cf. art. 399 CPP) par une partie ayant qualité pour recourir (cf. art. 382 al. 1 CPP) contre le jugement d’un tribunal de première instance qui a clos la procédure (cf. art. 398 al. 1 CPP), l’appel de A.G.________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conteste sa condamnation pour tentative de meurtre, faute d’intention homicide. Tout d'abord les experts ont retenu chez l'appelant un trouble mixte de la personnalité à traits émotionnellement labile de type impulsif paranoïaque ce qui permet de mettre en lumière que les paroles, parfois extrêmement violentes de l'appelant, ne sont en définitive qu'une expression de son trouble de la personnalité. Ensuite, la chronologie des faits démontre que le but poursuivi par l'appelant était d'avoir une discussion avec sa famille pour régler un litige concernant une parcelle en Italie, dès lors qu'il venait d'apprendre de la part de son géomètre que son beau-frère l'avait dénoncé aux autorités. Personne ne lui ayant ouvert la porte, il est rentré chez lui sans tenter de s'introduire chez son beau-frère. S'agissant de l'objet dont il s'est muni ce jour-là, qualifié par le Ministère public d'un manche avec lequel il aurait confectionné artisanalement une masse, il s'agissait d'un simple manche en bois qu'il avait récupéré dans son atelier de bricolage, comme cela ressortait des pièces au dossier (pièce à conviction n°32104 et P. 161/1), si bien qu'il ne saurait être considéré comme une arme, ni même comme dangereux, n'étant pas susceptible de causer des lésions mortelles. Si les policiers avaient déduit une intention homicide de l'audition du 19 février 2021, il fallait tenir compte également de l'audition du lendemain, lors de laquelle l'appelant avait indiqué que si son beau-frère lui avait ouvert, ils auraient discuté calmement et trouvé une solution. Là encore, la violence des mots employés devant les policiers le 19 février 2021 démontrait bien l'ancrage profond de ses troubles psychiques et son impulsivité ne s'accompagnait jamais de conduites hétéro-agressives. Les membres de sa famille n'étaient pas présents au moment des faits et leurs déclarations aux termes desquelles l'appelant faisait régner la terreur dans sa famille ne permettaient dès lors pas de déduire une intention homicide. L'épouse avait d'ailleurs pensé que l'appelant avait été arrêté pour avoir proféré des menaces de mort et non parce qu'il avait eu des intentions homicides. Quoiqu'il en soit, les dépositions de l'épouse et du fils avaient été faites dans un autre contexte, à savoir la suspicion que l'appelant était en train de fomenter avec un tiers d'origine sicilienne quelque chose de grave à l'encontre de A.N.________, ce qui avait finalement fait l'objet d'un classement. Tous les membres de la famille avaient été constants sur un élément en particulier : l'appelant était incapable de passer à l'acte ou de s'en prendre physiquement à un individu. Aucun élément du dossier ne permettait de penser que l'appelant serait dangereux au point de mettre en place un projet funeste à l'encontre de son beau-frère. Par ces griefs, l’appelant invoque la présomption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11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 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 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3.1.2</w:t>
      </w:r>
    </w:p>
    <w:p>
      <w:r>
        <w:t>Aux termes de l’art. 111 CP (Code pénal suisse du 21 décembre 1937 ; RS 311.0), celui qui aura intentionnellement tué une personne sera puni d’une peine privative de liberté de 5 ans au moins, en tant que les conditions prévues aux articles suivants ne seront pas réalisées. Il faut que l’auteur ait eu l’intention par son comportement de causer la mort d’autrui. Le dol éventuel est toutefois suffisant.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Petit Commentaire, Code pénal, 2 e éd., Bâle 2017, n. 10 ad art. 12 CP et les réf. citées). Ces trois formes correspondent à un comportement intentionnel au sens de l'art. 12 al. 2 CP (ibid.).</w:t>
      </w:r>
    </w:p>
    <w:p>
      <w:r>
        <w:rPr>
          <w:b/>
        </w:rPr>
        <w:t>E. 3.1.3</w:t>
      </w:r>
    </w:p>
    <w:p>
      <w:r>
        <w:t>L’art. 22 al. 1 CP dispose que le juge peut atténuer la peine si l’exécution d’un crime ou d’un délit n’est pas poursuivie jusqu’à son terme ou que le résultat nécessaire à la consommation de l’infraction ne se produit pas ou ne pouvait pas se produire. Diverses conceptions, développées pour justifier la répression de la tentative, permettent de restreindre ou d'élargir le cercle des cas d'infraction tentée. Si l'on se réfère à la théorie objective, restrictive, seuls les faits qui lèsent ou mettent en danger les biens juridiques devraient être punis. De ce fait, les actes qui maté­rialisent la résolution délictueuse sont réprimés s'ils représentent au moins un danger pour le bien juridique et sont, à défaut, insignifiants pour le droit pénal. Selon la théorie subjective, dont il ressort une approche plus large de la répression, la volonté criminelle est considérée comme le fondement de la répression. Les actes commis par l'auteur sont considérés comme des manifestations de sa volonté de violer une interdiction ou un commandement de l'ordre juridique, peu importe que l'acte puisse créer un danger pour le bien juridique. Autrement dit, l'auteur peut être poursuivi dès qu'il débute son activité délictueuse, car il a démontré sa volonté délictueuse. Le droit pénal suisse se réfère à la théorie intermédiaire (ou théorie mixte), selon laquelle la seule volonté délictueuse ne suffit pas à justifier la répression, mais la considère comme essentielle pour déterminer la portée du comportement en question. Le facteur décisif est le constat que l'acte de l'auteur produit un effet perturbateur et affaiblit le sentiment de sécurité des personnes (Eindruckstheorie). Cette approche, qui tient compte aussi bien des éléments subjectifs qu'objectifs, renforce la protection des biens juridiques et garantit la sécurité juridique (Pozo/Godel, Droit pénal général, 3 e éd., Zurich 2019, Degré d’exécution de l’infraction, n. 491 ad. art. 22 CP).</w:t>
      </w:r>
    </w:p>
    <w:p>
      <w:r>
        <w:rPr>
          <w:b/>
        </w:rPr>
        <w:t>E. 3.1.4</w:t>
      </w:r>
    </w:p>
    <w:p>
      <w:r>
        <w:t>Aux termes de l'art. 260bis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meurtre (let. a), d'un assassinat (let. b) ou de lésions corporelles graves (let. c). Sous réserve de certaines normes spéciales (de droit pénal principal ou accessoire), qui les répriment expressément (l’art. 19 al. 1 let. g LStup qui réprime les actes préparatoires au trafic de stupéfiants ; l’art. 266ter CP qui condamne la mise en danger collective au moyen de matériel radioactif), les actes préparatoires ne sont en principe pas répréhensibles (règle générale d'impunité). L'auteur doit avoir atteint, au moins psychologiquement, le seuil de l'exécution, c'est-à-dire qu'il doit avoir franchi dans son esprit le pas décisif vers l'accomplissement de l'infraction (CP, Petit Commentaire, Michel Dupuis et crts, nn. 5 à 12 ad art. 260 bis CP). Autrement dit, dans l'esprit de l'auteur, il doit non seulement être clair qu'il exécutera son action criminelle, mais la réalisation proprement dite de l'infraction ne doit pas être trop éloignée dans le temps (Pozo/Godel, op. cit., nn 484ss ad art. 260 bis CP, p. 202).</w:t>
      </w:r>
    </w:p>
    <w:p>
      <w:r>
        <w:rPr>
          <w:b/>
        </w:rPr>
        <w:t>E. 3.2</w:t>
      </w:r>
    </w:p>
    <w:p>
      <w:r>
        <w:t>En l’espèce, l’appelant a appris du géomètre en charge des travaux dans la maison dont il est propriétaire en Italie, que son beau-frère, A.N.________ l’avait dénoncé aux autorités italiennes. Dans un accès de colère, l’appelant a appelé sa sœur pour parler avec son beau-frère et pour menacer toute la famille de mort. Après avoir menacé sa sœur et sa famille, et toujours sous l’emprise de la colère, il s’est muni d’un manche en bois, trouvé dans son atelier de bricolage, pour se rendre chez son beau-frère. Le premier juge a retenu qu’en se rendant armé chez sa sœur, qu'il avait pris soin d'appeler avant en l'avisant de son intention homicide, muni d'un manche de pioche, le prévenu avait accompli l'acte qui représente la démarche ultime et décisive vers la réalisation de l'infraction et donc franchi le seuil de la tentative. Dès lors qu'il n'avait pu effectuer tous les actes nécessaires à la consommation de l'infraction, la porte d'entrée de l'immeuble étant fermée, l'infraction en était restée au stade de tentative inachevée. Au vu de la jurisprudence et de la doctrine rappelée ci-dessus (cf. 3.1.3 et 3.1.4 supra), en particulier de la théorie mixte qui doit être appliquée ici, cette appréciation ne peut être suivie. En effet, force est de constater qu’une fois arrivé sur place, l’appelant n’a pas franchi la limite du non-retour. Ainsi, alors que les antagonistes ne lui avaient pas ouvert la porte d’entrée de l’immeuble, il n’a pas tenté de rejoindre l’appartement de sa sœur par d’autres moyens, en s’introduisant dans l’immeuble en sonnant chez des voisins par exemple. Quoiqu’il en soit, la matérialisation du projet funeste aurait encore nécessité le franchissement de la porte palière – alors que la famille de la sœur n’avait pas l’intention de laisser le prévenu s’introduire –, l’affrontement de trois adultes, avertis de son arrivée, à domicile et cela muni d’un seul manche ne bois, objet suffisant pour blesser son adversaire ou le menacer, mais manifestement inadapté pour infliger la mort. Le projet funeste n’est ainsi de loin pas matérialisé, même si la volonté délictueuse a été exprimée sans retenue, encore après les faits. Les éléments constitutifs de l’art. 22 al. 1 CP ne sont dès lors pas réalisés. L’appelant doit être libéré du chef d’accusation de tentative de meurtre et son appel est admis sur ce point. S’agissant en outre de l’infraction subsidiaire d’acte préparatoire retenue à l’encontre de l’appelant, force est de constater que ce dernier a agi sur le coup de la colère et de manière impulsive après avoir été informé que son beau-frère l’avait dénoncé auprès de la justice administrative italienne en lien avec son terrain en Italie. C’est ainsi qu’il a pris ce qu’il avait sous la main sans réfléchir ou s’organiser. Partant, là encore, les éléments constitutifs de l’art. 260 bis CP, notamment un plan d’action réfléchi, ne sont pas réalisés. L’appelant doit également être libéré de ce chef d’infraction subsidiaire.</w:t>
      </w:r>
    </w:p>
    <w:p>
      <w:r>
        <w:rPr>
          <w:b/>
        </w:rPr>
        <w:t>E. 3.2.1</w:t>
      </w:r>
    </w:p>
    <w:p>
      <w:r>
        <w:t>; 6B_787/2018 du 1er octobre 2018 consid. 3.1). Par contre, la loi n’exige pas que l’auteur puisse et veuille sérieusement exécuter sa menace. Il suffit qu’il en donne l’impression à sa victime (Dupuis et al. [éd.], Code pénal, Petit commentaire, 2 e éd., Bâle 2017, n° 7 ad art. 180 CP).</w:t>
      </w:r>
    </w:p>
    <w:p>
      <w:r>
        <w:rPr>
          <w:b/>
        </w:rPr>
        <w:t>E. 4</w:t>
      </w:r>
    </w:p>
    <w:p>
      <w:r>
        <w:t>L'appelant conteste sa condamnation pour menaces qualifiées. Il fait valoir que son épouse n'a jamais pris au sérieux ses menaces si bien que les éléments constitutifs de l'infraction n'étaient pas réalisés. Si son épouse avait déclaré à une reprise avoir eu peur (PV aud. du 21 février 2021, R 10), c'était en raison du choc et de la colère ressentis après l'arrestation de son époux. Il affirme que la seule peur qu'elle pouvait ressentir concernait l'impact de l'humeur de son époux sur la cohésion familiale (cf. jgmt, p. 9 ss).</w:t>
      </w:r>
    </w:p>
    <w:p>
      <w:r>
        <w:rPr>
          <w:b/>
        </w:rPr>
        <w:t>E. 4.1</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w:t>
      </w:r>
    </w:p>
    <w:p>
      <w:r>
        <w:rPr>
          <w:b/>
        </w:rPr>
        <w:t>E. 4.2</w:t>
      </w:r>
    </w:p>
    <w:p>
      <w:r>
        <w:t>En l’espèce, l’appelant a admis les faits retenus à son encontre au chiffre 4 de l’acte d’accusation (cf. ch. 2.3 supra) durant les débats de première instance (cf. jgmt, p. 7). Il considère maintenant que son épouse n’a jamais vraiment eu peur des menaces qu’il avait proférées contre elle de sorte que les éléments constitutifs de l'infraction ne seraient pas réalisés. Certes, la famille semble désormais soutenir l'appelant mais on rappelle que son épouse a été hospitalisée pour avoir fait une crise d'angoisse la fois où elle avait essayé de le quitter. Ainsi, comme le Tribunal, on retiendra que les déclarations finales de l'épouse et du fils du prévenu (cf. jgmt, pp 9 ss) sont marquées par le manque, la culpabilité et la pression exercée sur eux par l’appelant, même depuis la prison, et ne sont pas crédibles à l'inverse de leurs propos initiaux, lesquels ont paru spontanés et sincères. Par ailleurs, l'abstinence nécessaire en prison fait vraisemblablement que l'appelant apparaît sous son meilleur jour et lui fait retrouver son caractère affable et généreux décrit par ses proches. Tel n'était cependant pas le cas au moment des faits. Compte tenu de ce qui précède, il n'y a pas lieu de tenir compte des déclarations de l’épouse de l'appelant aux débats de première instance, ses premières déclarations en procédure (PV aud. 12) - plus détaillées et très ancrées dans la réalité – étant beaucoup plus probantes. Le fait qu'après l'incarcération de son mari, l'abstinence de celui-ci et avec le manque et la culpabilité, elle change de version, n'a rien d'étonnant, a fortiori dans un contexte de violence conjugale. S'agissant de la peur éprouvée, elle résulte clairement des premières déclarations de l'épouse. Après l'épisode de la chaise qu'il lui a lancée dessus, elle a « dû sortir le chien car elle avait peur » (PV aud. 6 p. 3). La peur est permanente. Elle déclare « Cela fait des années que je vis dans la peur avec mon mari, j'ai même peur de le dire » (ibidem). Après avoir quitté une fois le domicile et s'être réfugié chez son fils, elle finit par rentrer et dira « J'avais une peur bleue en rentrant à la maison suite aux insultes et menaces » (ibidem). Elle fait alors une crise d'angoisse et est hospitalisée pour ce motif. La peur était bien réelle même si elle a finalement prétendu devant les premiers juges avoir exagéré ses propos. La condamnation pour menaces qualifiées doit dès lors être confirmée.</w:t>
      </w:r>
    </w:p>
    <w:p>
      <w:r>
        <w:rPr>
          <w:b/>
        </w:rPr>
        <w:t>E. 5</w:t>
      </w:r>
    </w:p>
    <w:p>
      <w:r>
        <w:t>L’appelant conteste la peine prononcée à son encontre et conclut à ce qu'une peine pécuniaire soit prononcée en lieu et place d'une peine privative de liberté.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5.1.2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w:t>
      </w:r>
    </w:p>
    <w:p>
      <w:r>
        <w:t>En l’espèce, l’appelant est libéré de l’infraction de tentative d’homicide mais il est reconnu coupable d’injure et de menace contre les autorités et les fonctionnaires, de contravention à la loi vaudoise sur les contraventions (cf. ch. 2.2 supra) et de menaces qualifiées (cf. ch. 2.3 supra). Quelle que soit la posture de l’épouse actuellement, les menaces sont de longues durées et l’ont fortement impactées, ainsi que toute la vie de famille. La culpabilité est lourde. L'appelant se cherche des excuses, semble considérer que son beau-frère est responsable de la situation, ne se remet pas en question sur la violence de ses propos ou la peur qu'il inflige à son entourage et garde la mainmise sur son épouse sans réaliser qu'elle est affectée par ses débordements récurrents. Les infractions entrent en concours et une multitude de biens juridiques sont concernés. On retiendra une légère diminution de responsabilité selon les experts en raison de son incapacité à se déterminer d'après son appréciation – elle, intacte – de l'illicéité de ses actes. L’infraction la plus grave, soit les menaces qualifiées, doivent être sanctionnées par une peine privative de liberté de 7 mois. Par l’effet du concours, il convient d’augmenter cette peine de 3 mois pour les menaces contre les autorités et les fonctionnaires. L’appelant remplis les conditions du sursis avec un délai d’épreuve de 5 ans, comme retenu en première instance sans que cela ne soit contesté. Afin de tenir compte de la problématique d’addiction à l’alcool dont souffre l’appelant, et qui est en lien direct avec son comportement illicite, la règle de conduite ordonnée par le premier juge doit être confirmée pendant le délai d’épreuve.</w:t>
      </w:r>
    </w:p>
    <w:p>
      <w:r>
        <w:rPr>
          <w:b/>
        </w:rPr>
        <w:t>E. 6</w:t>
      </w:r>
    </w:p>
    <w:p>
      <w:r>
        <w:t>L’appelant a requis l’allocation d’une indemnité en sa faveur pour les jours de détention injustifiée subis.</w:t>
      </w:r>
    </w:p>
    <w:p>
      <w:r>
        <w:rPr>
          <w:b/>
        </w:rPr>
        <w:t>E. 6.1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Schweizerische Strafprozessordnung, 2 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consid. 6.5.1; TF 6B_1395/2016 précité consid. 1.1 et les références citées). Il appartient au demandeur d'invoquer et de prouver les atteintes subies (ATF 135 IV 43 consid. 4.1; ATF 117 IV 209 consid. 4b).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 TF 6B_478/2016 précité ; TF 6B_909/2015 précité).</w:t>
      </w:r>
    </w:p>
    <w:p>
      <w:r>
        <w:rPr>
          <w:b/>
        </w:rPr>
        <w:t>E. 6.2</w:t>
      </w:r>
    </w:p>
    <w:p>
      <w:r>
        <w:t>En l’espèce, l’appelant a purgé 334 jours avant jugement puis encore 26 jours après, soit 360 jours au total. Compte tenu de son acquittement pour la tentative de meurtre, la peine privative de liberté prononcée en définitive est de 10 mois. Dans la mesure où la détention avant jugement est imputée indépendamment du fait que celle-ci est assortie du sursis (cf. TF 6B_431/2015), il n’y pas lieu d’allouer d’indemnité pour les 10 mois – soit 300 jours – avec sursis prononcés à l’encontre de l’appelant. Par conséquent, l’indemnité allouée doit être calculé sur la base de 34 jours de détention injustifiée. En appliquant le tarif de 200 fr. le jour, c’est ainsi une indemnité de 6'800 fr. qui sera allouée à l’appelant, à la charge de l’Etat. Appliquant le même barème, il convient également d’allouer à l’appelant une indemnité de 5'200 fr. au titre d’indemnité pour les 26 jours de détention illicite subis après jugement de première instance.</w:t>
      </w:r>
    </w:p>
    <w:p>
      <w:r>
        <w:rPr>
          <w:b/>
        </w:rPr>
        <w:t>E. 7</w:t>
      </w:r>
    </w:p>
    <w:p>
      <w:r>
        <w:t>En définitive, l’appel doit être partiellement admis et le jugement attaqué réformé dans le sens des considérants qui précèdent. Le défenseur d’office de l’appelant a produit une liste d’opérations faisant état d’un temps consacré au mandat de 17 heures et 25 minutes, ce qui peut être admis sous réserve d’une réduction de 30 minutes s’agissant du temps consacré aux actes postérieurs à l’audience qui doit être admis à raison d’une heure. On ajoutera en outre 1 heure pour le temps de l’audience d’appel. En définitive, c’est une indemnité de 3'542 fr. 80 qui sera allouée à Me Manuela Ryter-Godel. Ce montant correspond à des honoraires de 3'225 fr. pour une activité d’avocat de 17 heures et 55 minutes au tarif horaire de 180 fr., auxquels s’ajoutent 64 fr. 50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une vacation de 120 fr., et la TVA sur le tout, par 253 fr. 50. Vu l’issue de la cause, les frais de la procédure d’appel, par 6’332 fr. 80, constitués de l’émolument d’audience et de jugement, par 2’090 fr. (cf. art. 21 al. 1 et 2 TFIP), et de l’indemnité due au défenseur d’office de l’appelant, par 3'542 fr. 80, seront mis par un quart, soit 1'583 fr. 20, à la charge de A.G.________, le solde étant laissé à la charge de l’Etat. L’appelant ne sera toutefois tenu de rembourser à l’Etat le quart de l’indemnité en faveur de son défenseur d’office que lorsque sa situation financière le permettra (cf. art. 135 al. 4 let. a CPP).</w:t>
      </w:r>
    </w:p>
    <w:p>
      <w:r>
        <w:rPr>
          <w:b/>
        </w:rPr>
        <w:t>E. 8</w:t>
      </w:r>
    </w:p>
    <w:p>
      <w:r>
        <w:t>Le chiffre III du dispositif notifié aux parties le 11 novembre 2022 indique que la détention subie depuis le jugement de première instance est déduite, ce qui est contradictoire avec le chiffre suivant du dispositif qui alloue une indemnité à l’appelant pour les 26 jours de détention illicite subis après jugement de première instance (IV). Le dispositif sera dès lors de rectifié d’office sur ce point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