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235/II vom 26. November 2009</w:t>
      </w:r>
    </w:p>
    <w:p>
      <w:r>
        <w:t>VD Tribunal cantonal, 2009-11-26, FR</w:t>
      </w:r>
    </w:p>
    <w:p>
      <w:r>
        <w:rPr>
          <w:b/>
        </w:rPr>
        <w:t xml:space="preserve">Quelle: </w:t>
      </w:r>
      <w:r>
        <w:t>https://mcp.opencaselaw.ch/entscheid/vd_findinfo_235_II</w:t>
      </w:r>
    </w:p>
    <w:p>
      <w:r>
        <w:t>FR: VD_FINDINFO 235/II du 26 novembre 2009</w:t>
      </w:r>
    </w:p>
    <w:p>
      <w:r>
        <w:t>IT: VD_FINDINFO 235/II del 26 novembre 2009</w:t>
      </w:r>
    </w:p>
    <w:p>
      <w:pPr>
        <w:pStyle w:val="Heading2"/>
      </w:pPr>
      <w:r>
        <w:t>Regeste</w:t>
      </w:r>
    </w:p>
    <w:p>
      <w:r>
        <w:t>DÉTENTION AUX FINS D'EXPULSION, DEVOIR DE COLLABORER, PROPORTIONNALITÉ, RISQUE DE FUITE | 76 al. 1 let. b ch. 3 LEtr, 76 al. 1 let. b ch. 4 LEtr, 80 al. 1 LEtr, 80 al. 4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du 16 décembre 2005 sur les étrangers; RS 142.20]; art. 30 al. 1 LVLEtr [loi du 18 décembre 2007 d'application dans le canton de Vaud de la législation fédérale sur les étrangers; RSV 142.11]). Il est de la compétence de la Chambre des recours (art. 71 et 73 LOJV [loi d'organisation judiciaire du 12 décembre 1979; RSV 173.01] et art. 20 al. 2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30 al. 1 et 2 LVLEtr). Elle peut en particulier tenir compte de faits postérieurs à la décision attaquée. En l'espèce, les pièces produites par les parties peuvent être versées au dossier.</w:t>
      </w:r>
    </w:p>
    <w:p>
      <w:r>
        <w:rPr>
          <w:b/>
        </w:rPr>
        <w:t>E. 3</w:t>
      </w:r>
    </w:p>
    <w:p>
      <w:r>
        <w:t>Le Juge de paix du district de Lausanne, autorité compétente (art. 17 LVLEtr), a procédé à l'audition du recourant le 26 octobre 2009, soit dans les vingt-quatre heures dès le moment où il a été interpellé (art. 16 al. 1 LVLEtr). Un procès-verbal sommaire de cette audition a été dressé et les propos du recourant ont été résumés (art. 21 al. 2 LVLEtr). Le juge de paix a immédiatement rendu un ordre de détention, et sa décision motivée a été expédiée pour notification le lendemain, soit dans les nonante-six heures prescrites par l'art. 16 al. 1 LVLEtr, et effectivement reçue par le recourant le 28 octobre suivant. Enfin, à la requête du recourant, un avocat d'office lui a été désigné (art. 24 al. 2 LVLEtr). Par conséquent, la procédure suivie en première instance apparaît régulière.</w:t>
      </w:r>
    </w:p>
    <w:p>
      <w:r>
        <w:rPr>
          <w:b/>
        </w:rPr>
        <w:t>E. 3.1</w:t>
      </w:r>
    </w:p>
    <w:p>
      <w:r>
        <w:t>in fine et la référence citée). b) En l'espèce, il résulte du dossier que, malgré le rappel que lui a adressé le SPOP le 3 septembre 2007 de son obligation de quitter immédiatement le territoire consécutive au rejet de sa demande d'asile, le recourant n'a entrepris aucune démarche en vue de se procurer des documents de voyage et refuse un retour volontaire dans sa patrie. L'intéressé a confirmé à l'audience du juge de paix qu'il n'entendait pas retourner dans son pays. Il a enfin refusé d'embarquer dans le vol à destination de Kinshasa, qui lui avait été réservé le 4 novembre 2009. Ce comportement démontre de manière concrète et suffisante que le recourant n'est pas disposé à retourner dans son pays d'origine et qu'il entend se soustraire au renvoi. Sa mise en détention respecte donc les conditions de l'art. 76 al. 1 let. b ch. 3 et 4 LEtr et n'apparaît pas critiquable sous cet angle.</w:t>
      </w:r>
    </w:p>
    <w:p>
      <w:r>
        <w:rPr>
          <w:b/>
        </w:rPr>
        <w:t>E. 4</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2C_128/2009 précité c.</w:t>
      </w:r>
    </w:p>
    <w:p>
      <w:r>
        <w:rPr>
          <w:b/>
        </w:rPr>
        <w:t>E. 5</w:t>
      </w:r>
    </w:p>
    <w:p>
      <w:r>
        <w:t>Le recourant dit avoir des doutes sérieux sur la licéité du laissez-passer délivré par l'ambassade, dont il croit savoir qu'il ne serait délivré qu'aux ressortissants congolais ayant commis des infractions sur territoire suisse, et craint qu'il puisse créer un risque de confusion chez les autorités congolaises, de nature à mettre en danger son intégrité physique. Les craintes exprimées par le recourant sont infondées. En effet, il résulte des explications du SPOP, dont il n'existe aucun motif de douter, que le laissez-passer délivré par l'ambassade congolaise est un document de voyage de substitution établi en l'absence de passeport national, afin de permettre le retour d'un intéressé dans son pays d'origine. Il est établi à l'intention de ressortissants d'Etats étrangers dépourvus de documents de voyage valables et qui veulent ou doivent se rendre à l'étranger et aucune condamnation pénale n'y est mentionnée. L'argument du recourant n'a donc aucune portée.</w:t>
      </w:r>
    </w:p>
    <w:p>
      <w:r>
        <w:rPr>
          <w:b/>
        </w:rPr>
        <w:t>E. 6</w:t>
      </w:r>
    </w:p>
    <w:p>
      <w:r>
        <w:t>Invoquant la situation de violence interethnique qui prévaudrait au nord du Congo, le recourant considère que son renvoi de Suisse serait de nature à lui causer un dommage irréversible. D'après la jurisprudence (TF 2C_445/2007 du 30 octobre 2007 c. 4.2; ATF 128 II 193 c. 2.2.2 pp. 197-198),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(cf. TF 2A.47/2007 du 18 avril 2007 c. 2.3, cas dans lequel il a été jugé que l'infection par le HIV n'était pas suffisante pour lever la détention, les autorités compétentes de police des étrangers ayant par ailleurs estimé qu'un traitement était possible à l'étranger). En l'espèce, on ne saurait admettre la nullité de la décision de renvoi du 8 février 1999. Il appartient au recourant de s'adresser à l'ODM s'il entend se prévaloir de faits nouveaux susceptibles d'entraîner la reconsidération de cette décision.</w:t>
      </w:r>
    </w:p>
    <w:p>
      <w:r>
        <w:rPr>
          <w:b/>
        </w:rPr>
        <w:t>E. 7</w:t>
      </w:r>
    </w:p>
    <w:p>
      <w:r>
        <w:t>Par ailleurs, le recourant fait valoir qu'il a une amie, qui a donné naissance à un enfant, […], né le</w:t>
      </w:r>
    </w:p>
    <w:p>
      <w:r>
        <w:rPr>
          <w:b/>
        </w:rPr>
        <w:t>E. 11</w:t>
      </w:r>
    </w:p>
    <w:p>
      <w:r>
        <w:t>septembre 2009, qu'il entend reconnaître. Selon l'art. 80 aI.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690, 5 octobre 2006). En l'espèce, le recourant n'invoque pas de telles circonstances extraordinaires. Il n'invoque pas plus un futur mariage, qui ne rend de toute manière inadmissible la détention en vue de renvoi que si l'intéressé peut compter sur la délivrance d'une autorisation de séjour à bref délai, ce qui n'est pas le cas lorsque la date de mariage n'est pas fixée (TF 2C_575/2008 du 1 er septembre 2008 c. 5.5. et réf.). Enfin, le fait que le renvoi soit susceptible de séparer définitivement le recourant de son enfant - qu'il n'a d'ailleurs pas reconnu en l'état - n'est pas pertinent pour juger de la licéité de la détention. 8. En dernier lieu, le recourant fait valoir qu'il souffre d'une allergie entraînant un asthme, des apnées de sommeil et un diabète non-insulinorequérant. Ces problèmes de santé ne paraissent pas incompatibles avec la détention et pourront être traités si nécessaire par un médecin dans le cadre de l'établissement de Frambois. 9. Pour le surplus, le renvoi paraît pouvoir être effectué dans le délai maximal de détention et les démarches en vue de son exécution se poursuivent sans discontinuer en vue d'organiser un vol spécial, après le refus du recourant d'embarquer sur le vol qui lui avait été réservé pour le 4 novembre 2009 (art. 76 al. 4 LEtr). Dans la mesure où ces démarches devaient prendre un certain temps, cela serait imputable au refus du recourant de prendre le vol qui lui avait été réservé. Les principes de diligence et de proportionnalité étant ainsi respectés, le maintien en détention se révèle également justifié à cet égard. 10. 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26 novembre 2009 Le dispositif de l'arrêt qui précède est communiqué par écrit aux intéressés. L e greffi er : Du L'arrêt qui précède, dont la rédaction a été approuvée à huis clos, est notifié en expédition complète, par l'envoi de photocopies, à : ‑      Me Laurent Gilliard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