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230 vom 27. April 2022</w:t>
      </w:r>
    </w:p>
    <w:p>
      <w:r>
        <w:t>VD Tribunal cantonal, 2022-04-27, FR</w:t>
      </w:r>
    </w:p>
    <w:p>
      <w:r>
        <w:rPr>
          <w:b/>
        </w:rPr>
        <w:t xml:space="preserve">Quelle: </w:t>
      </w:r>
      <w:r>
        <w:t>https://mcp.opencaselaw.ch/entscheid/vd_findinfo_230___________</w:t>
      </w:r>
    </w:p>
    <w:p>
      <w:r>
        <w:t>FR: VD_FINDINFO 230 du 27 avril 2022</w:t>
      </w:r>
    </w:p>
    <w:p>
      <w:r>
        <w:t>IT: VD_FINDINFO 230 del 27 aprile 2022</w:t>
      </w:r>
    </w:p>
    <w:p>
      <w:pPr>
        <w:pStyle w:val="Heading2"/>
      </w:pPr>
      <w:r>
        <w:t>Regeste</w:t>
      </w:r>
    </w:p>
    <w:p>
      <w:r>
        <w:t>BAIL À LOYER, DÉFAUT DE LA CHOSE | 256 al. 1 CO, 259a al. 1 CO, 259a al. 2 CO, 259b CO, 259d CO, 259e CO, 259g CO</w:t>
      </w:r>
    </w:p>
    <w:p>
      <w:pPr>
        <w:pStyle w:val="Heading2"/>
      </w:pPr>
      <w:r>
        <w:t>Erwägungen</w:t>
      </w:r>
    </w:p>
    <w:p>
      <w:r>
        <w:rPr>
          <w:b/>
        </w:rPr>
        <w:t>E. 1</w:t>
      </w:r>
    </w:p>
    <w:p>
      <w:r>
        <w:t>let. a CPC [Code de procédure civile du 19 décembre 2010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 La réponse, déposée en temps utile (art. 312 al. 2 CPC), est également recevable. Il en va de même de la réplique spontanée déposée le 25 octobre 2021 par l’appelante, soit dans les dix jours suivant la communication de la réponse (ATF 138 I 484 consid. 2, JdT 2014 I 32 ; ATF 138 I 154 consid. 2.3.3, JdT 2013 I 162 ; TF 1B_214/2019 du 25 juin 2019 consid. 2.1).</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w:t>
      </w:r>
    </w:p>
    <w:p>
      <w:r>
        <w:rPr>
          <w:b/>
        </w:rPr>
        <w:t>E. 3.1</w:t>
      </w:r>
    </w:p>
    <w:p>
      <w:r>
        <w:t>L’appelante invoque une série de faits nouveaux, reposant sur des pièces soi-disant nouvelles, de même que des conclusions nouvelles, dont il convient d’examiner la recevabilité.</w:t>
      </w:r>
    </w:p>
    <w:p>
      <w:r>
        <w:rPr>
          <w:b/>
        </w:rPr>
        <w:t>E. 3.2.1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l'appelante de démontrer que celles-ci sont réalisées, de sorte que l'appel doit indiquer spécialement de tels faits et preuves nouveaux et motiver spécialement les raisons qui les rendent admissibles selon elle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les vrais et les faux novas .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w:t>
      </w:r>
    </w:p>
    <w:p>
      <w:r>
        <w:rPr>
          <w:b/>
        </w:rPr>
        <w:t>E. 3.2.2</w:t>
      </w:r>
    </w:p>
    <w:p>
      <w:r>
        <w:t>En l’occurrence, si la pièce 26, intitulée « copie de la correspondance adressée par le conseil de l’appelante au conseil des intimés le 13 avril 2021 », est, sur le principe, recevable dès lors qu’elle a été établie après la procédure de première instance, les faits qui y sont indiqués et qui existaient déjà durant cette procédure sont irrecevables, l’appelante n’ayant pas indiqué pour quel motif elle ne les avait pas allégués plus tôt. Les autres faits en résultant, notamment une intervention de police dans la nuit du 10 au 11 avril 2021, sont recevables ; on retiendra toutefois qu’ils ne sont pas établis du seul fait des déclarations du conseil de l’appelante ; la raison d’être de l’intervention de la police les 10/11 avril 2021 n’est en particulier pas établie. Quant à la pièce 27 – laquelle est une copie de la première annexe accompagnant la correspondance adressée par le conseil de l’appelante au conseil des intimés le 14 avril 2021, soit la synthèse des encaissements et dépenses pour la période du 1 er janvier 2018 au 31 décembre 2020 concernant l’exploitation des appartements remis à bail dans l’immeuble sis [...]–, elle est irrecevable dans la mesure où elle porte sur une période antérieure à l’audience de première instance qui s’est tenue le 2 décembre 2020. Cette pièce aurait pu être établie avant et donc produite pour cette période lors de la procédure de première instance déjà. Les faits en résultant, à part les résultats de fin 2020, sont donc irrecevables. Au demeurant, on relèvera que les éléments recevables ne sont propres à établir, à l’instar de la pièce 21 produite en première instance, ni les pertes invoquées, ni le défaut, ni un rapport de causalité entre les deux. La pièce 28, intitulée « copie de la seconde annexe accompagnant la correspondance adressée par le conseil de l’appelante au conseil des intimés le 14 avril 2021, soit une carte de visite de l’établissement « [...] » », est également irrecevable, l’appelante se contentant d’alléguer, sans l’établir, que cette carte de visite n’aurait été trouvée que début 2021. Rien ne permet toutefois de le retenir, alors qu’il appartenait à l’appelante d’établir la réalisation des conditions de l’art. 317 CPC. Au demeurant, la Cour de céans relève que si tel était réellement le cas, la découverte d’une telle carte en 2021 serait impropre à démontrer l’existence d’un défaut en 2019, ni même en 2021. Même si elle était recevable, elle serait donc sans pertinence ici. L’audition de l’administrateur président de l’appelante requise afin de démontrer la date à laquelle il aurait trouvé cette carte – outre le fait qu’elle ne saurait être probante à elle seule – est ainsi sans pertinence et doit être rejetée. Il en va de même pour les photographies produites sous pièces 29, 31 et 35, lesquelles sont impropres à établir quoi que ce soit, ne serait-ce que le lieu des prises de vue s’agissant des photographies produites sous pièces 35 ou encore l’auteur des faits ainsi photographié. L’audition du représentant de l’appelante ne saurait à cet égard être ordonnée, faute de pouvoir apporter des éléments non seulement probants, mais en outre suffisants pour renverser les appréciations qui vont suivre. Le courrier du conseil des intimés au conseil de l’appelante du 20 mai 2021, produit sous pièce 30, est nouveau et donc recevable, au sens de l’art. 317 CPC. Le bail à loyer auquel se réfère l’appelante a finalement été produit à l’appui de la réponse déposée le 13 octobre 2021 par les intimés. Largement postérieur au moment où l’appelante a invoqué l’existence d’un défaut (2019 contre octobre 2020), le contrat de bail est ainsi impropre à établir l’existence dudit défaut au moment de la consignation des loyers ou même après. La pièce 32 est en lien avec une autre procédure ouverte après les délibérations de première instance, par requête des intimés du 25 mars 2021. Les pièces 33 et 34 ont trait à la résiliation du bail par l’appelante le 29 juin 2021. La pièce 37 établit que l’appelante a continué à consigner les loyers en 2021. Ces pièces et faits sont théoriquement recevables étant des novas . Ils n’apportent toutefois rien de pertinent pour l’issue du litige et l’appelante qui les allègue n’en tire rien de convaincant à l’appui des conclusions prises dans la présente procédure. La pièce 35, soit un envoi du 2 août 2021 de l’appelante à son conseil, est un novum et est recevable. Cela dit, si un dénommé « [...] » s’est plaint de bruits et de dérangements à des dénommés « [...] et [...]», rien n’établit qu’il s’agisse d’une personne occupant l’un des appartements loués par l’appelante ou cette dernière. Les photographies, comme dit ci-dessus, sont irrecevables dès lors qu’aucun élément au dossier ne permet d’établir la date à laquelle elles ont été prises. Au demeurant, elles sont dépourvues de toute force probante. Ce raisonnement est également applicable s’agissant de la pièce 36, les envois de l’appelante ne prouvant rien. Au vu de ce qui précède, il ne se justifie pas de compléter l’état de fait dans le sens requis.</w:t>
      </w:r>
    </w:p>
    <w:p>
      <w:r>
        <w:rPr>
          <w:b/>
        </w:rPr>
        <w:t>E. 3.3.1</w:t>
      </w:r>
    </w:p>
    <w:p>
      <w:r>
        <w:t>La prise de conclusions nouvelles dans l’acte d’appel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 nn. 10-12 ad art. 317 CPC).</w:t>
      </w:r>
    </w:p>
    <w:p>
      <w:r>
        <w:rPr>
          <w:b/>
        </w:rPr>
        <w:t>E. 3.3.2</w:t>
      </w:r>
    </w:p>
    <w:p>
      <w:r>
        <w:t>En rapport avec les faits nouveaux qu’elle souhaite alléguer en procédure, l’appelante requiert de pouvoir introduire des conclusions nouvelles. La recevabilité de celles-ci peut toutefois souffrir de rester ouverte, au vu de ce qui suit.</w:t>
      </w:r>
    </w:p>
    <w:p>
      <w:r>
        <w:rPr>
          <w:b/>
        </w:rPr>
        <w:t>E. 4.1</w:t>
      </w:r>
    </w:p>
    <w:p>
      <w:r>
        <w:t>Le bailleur est tenu de délivrer la chose dans un état approprié à l'usage pour lequel elle a été louée, puis de l'entretenir dans cet état (art. 256 al. 1 CO [loi fédérale du 30 mars 1911 complétant le code civil suisse [livre cinquième : Droit des obligations] ; RS 220]).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précité consid. 3.3 ; TF 4A_395/2017 du 11 octobre 2018 consid. 5.2).</w:t>
      </w:r>
    </w:p>
    <w:p>
      <w:r>
        <w:rPr>
          <w:b/>
        </w:rPr>
        <w:t>E. 4.2.1</w:t>
      </w:r>
    </w:p>
    <w:p>
      <w:r>
        <w:t>Aux termes de l’art. 259a al. 1 CO, lorsque 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w:t>
      </w:r>
    </w:p>
    <w:p>
      <w:r>
        <w:rPr>
          <w:b/>
        </w:rPr>
        <w:t>E. 4.2.2</w:t>
      </w:r>
    </w:p>
    <w:p>
      <w:r>
        <w:t>Des défauts de moyenne importance et des défauts graves ouvrent au locataire les droits prévus à l'art. 259a CO, en particulier la remise en état de la chose (al. 1 let. a) (TF 4A_411/2020 précité op. cit. ; TF 4A_395/2017 précité op. cit. ).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Lachat/Grobet Thorens/Rubli/Stastny, Le bail à loyer, Lausanne 2019, nn. 2.1 à 2.3, pp. 306 et 307).</w:t>
      </w:r>
    </w:p>
    <w:p>
      <w:r>
        <w:rPr>
          <w:b/>
        </w:rPr>
        <w:t>E. 4.2.3</w:t>
      </w:r>
    </w:p>
    <w:p>
      <w:r>
        <w:t>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op. cit.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précité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op. cit. ).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op. cit. ).</w:t>
      </w:r>
    </w:p>
    <w:p>
      <w:r>
        <w:rPr>
          <w:b/>
        </w:rPr>
        <w:t>E. 4.2.4</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(TF 4A_32/2018 du 11 juillet 2018 consid.2.2 ; TF 4A_173/2010 du 22 juin 2010 consid. 5.3 ; TF 4C.89/1993 du 22 juin 1993 consid. 3a ; Aubert, Droit du bail à loyer et à ferme, n° 3 ad art. 259e CO ; Tercier et Alti, Les contrats spéciaux, 5 e éd 2016, n° 1796 ss). La faute peut intervenir au stade de la survenance du défaut et/ou de la suppression du défaut (TF 4A 647/2015 du 11 août 2016 consid. 6.3 ; Martin Züst, Die Mängelrechte des Mieters von Wohn- und Geschäftsräumen, 1992, n. 379). Le bailleur répond par ailleurs de la faute de ses auxiliaires (art. 101 CO ; TF 4C.89/1993 précité op. cit. ; Züst, op. cit., p. 226 ss). En fonction des circonstances, le bailleur peut s'exculper en démontrant qu'il n'avait pas connaissance du défaut (ATF 60 II 341 consid. 4 ; TF 4A_32/2018 précité op. cit. ; Peter Higi, Zürcher Kommentar, 3 e éd. 1994, n. 7 ad art. 259e CO ; Züst, op. cit., n. 384). Plusieurs auteurs soulignent l'importance que revêt l'avis des défauts du locataire dans ce contexte (cf. art. 257g CO ; Aubert, Droit du bail à loyer et à ferme, n. 15 ad art. 259e CO ; David Lachat, Le bail à loyer, op. cit. , n. 4.5, p. 264 ; Züst, op. cit ., p. 223 n. 381 ; TF 4A_32/2018 précité op. cit. ).</w:t>
      </w:r>
    </w:p>
    <w:p>
      <w:r>
        <w:rPr>
          <w:b/>
        </w:rPr>
        <w:t>E. 4.2.5</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op. cit. ; TF 4A_119/2018 du 7 janvier 2019 consid. 5.2 ; TF 4A_569/2017 du 27 avril 2018 consid. 7). Conformément à la règle générale de l'art. 8 CC, il incombe au locataire de prouver l'existence du défaut subséquent, au sens de l'art. 259a CO, qu'il invoque (TF 4A_411/2020 précité consid. 3.1.2).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 respectivement, devant le Tribunal fédéral, arbitraire – des preuves est alors recevable (ATF 127 III 519 précité op. cit. ; TF 4A_341/2019 du 15 mai 2020 consid. 3.2). Le droit à la preuve découlant de l’art.</w:t>
      </w:r>
    </w:p>
    <w:p>
      <w:r>
        <w:rPr>
          <w:b/>
        </w:rPr>
        <w:t>E. 4.2.6</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 légale entre les moyens de preuve autorisés (Schweizer, Commentaire romand CPC, Bâle 2019, 2 e éd., n. 19 ad art. 157 CPC).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 2.3 ; ATF 136 III 552 consid. 4.2 ; TF 4A_485/2019 du 4 février 2020 consid. 3). 5. L’appelante revient sur les faits constatés par l’autorité précédente. 5.1 5.1.1 En vertu du devoir de motivation de l’appel (art. 311 al. 1 CPC),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consid. 2.2 ; CACI 16 décembre 2019/665 consid. 4.2 ; CACI 21 novembre 2018/651 consid. 3.3 ; CACI 29 juin 2017/273 consid. 3.2). 5.1.2 Dès lors que l’appelante présente des faits dans son appel qui s’écartent de ceux constatés par l’autorité précédente sans exposer – conformément à son devoir de motivation – en quoi ces premiers faits seraient inexacts, cette partie de son mémoire d’appel est irrecevable. 5.2 5.2.1 L’appelante, qui souhaite la fermeture du passage entre les deux bâtiments, malgré les problèmes d’incendie que cela pose, reproche à l’autorité précédente de ne pas avoir admis comme prouvée l’existence de nuisances résultant du passage possible entre les deux parties du bâtiment. Elle invoque à ce titre que les usagers de la portion de l’immeuble sise à l’adresse du [...] affectée à la prostitution, transitant par la partie de l’immeuble de la rue du [...], engendreraient un va-et-vient de personnes qui importuneraient et feraient fuir sa clientèle. Elle précise que certains usagers squatteraient les espaces communs et causeraient diverses salissures. Elle allègue ainsi que l’usage de la chose louée serait restreint, ce qui constituerait un défaut qui lui causerait un dommage sous la forme d’une perte de chiffre d’affaires. Elle se plaint enfin de la force probante donnée par l’autorité précédente aux différents moyens de preuve figurant au dossier. Quant aux intimés, ils indiquent que ce serait à juste titre que l’autorité précédente aurait retenu que l’appelante avait échoué à démontrer l’existence d’un défaut, ainsi que la nature exacte des nuisances subies, leur durée et leur intensité, de sorte qu’elle ne saurait prétendre à l’application des art. 259b à 259i CO. A ce titre, elle explique que l’existence d’éventuelles nuisances en lien avec le voisinage ne serait pas directement liée à l’ouverture et/ou au libre accès des portes d’incendie, lesquelles répondraient avant tout à un objectif de sécurité publique et devraient rester accessibles tout le temps. Ils relèvent également que les portes d’incendie seraient des parties communes de l’immeuble et ne feraient pas partie de la jouissance de la chose louée cédée à l’appelante, le contrat de bail portant expressément sur les studios situés [...], sans mentionner les parties communes. Enfin, les intimés soutiennent que, dans la mesure où les prétentions de l’appelante seraient infondées, les loyers consignés devraient être immédiatement et intégralement libérés en leur faveur. L’autorité précédente a notamment retenu que, n’étant ni renseignée sur la fréquence d’utilisation du passage incriminé ni sur ses conséquences concrètes pour l’appelante ou ses clients, il n’était pas possible de retenir que l’usage de la chose louée avait été restreint de manière suffisamment significative pour justifier l’octroi d’une réduction de loyer.  Elle a en outre considéré que l’appelante avait également échoué à établir l’existence d’un préjudice, de sorte qu’aucun montant ne devait lui être alloué au titre de dommages-intérêts. 5.2.2 N’en déplaise à l’appelante, les seules déclarations de son administrateur président ou celles de son conseil, même répétées, ne sont pas suffisantes à établir l’existence de nuisances, encore moins leur importance et leur durée, étant rappelé que l’appelante demande une réduction de loyer de 50% dès le 1 er juillet 2016. L’appelante, qui supporte à cet égard le fardeau de la preuve, aurait dû apporter la preuve d’éléments permettant de retenir comme établies dites nuisances, leur importance et leur durée. Au demeurant, les pièces 8 à 10, auxquelles se réfère l’appelante dans son appel, qui ne sont accompagnées d’aucune pièce soutenant les déclarations qu’elles contiennent, n’ont aucune valeur probante. L’appelante confond ici l’avis des défauts et la preuve des défauts. L’appelante appuie également ses dires sur les photographies produites sous pièces 22 à 25. Il ressort de celles-ci des éléments d’une entrée et de passages d’un immeuble, ainsi que des personnes entrant dans un immeuble. Elles ne permettent toutefois pas de retenir qu’il s’agirait de clients des salons de massage. Il est rappelé que l’appelante louait alors 23 appartements dans ledit immeuble, de sorte qu’on ne peut aucunement exclure qu’il s’agisse de ses propres clients. Il ne saurait à cet égard y avoir de présomption en faveur d’utilisateurs de salons de massage. On ignore en outre la date à laquelle ces différents clichés ont été pris. Il ne peut ainsi être retenu que quelques photographies prises de personnes entrant dans un immeuble prouveraient des immissions excessives dans le droit du locataire de profiter de l’immeuble selon l’usage convenu. Ces clichés ne permettent en effet pas de retenir un comportement bruyant ou dérangeant des personnes photographiées. Dans ces conditions, ces photographies sont également impropres à démontrer un passage ou un usage gênant de personnes utilisant d’autres lieux que ceux loués par l’appelante, de manière excessive et pour la durée visée par la consignation ou par la réduction de loyer demandée. On ne saurait dès lors suivre l’appelante lorsqu’elle réclame, sur la base de tels éléments, que soit constaté que « les prostituées, les masseuses et leurs clients empruntent désormais aussi l’entrée située à la [...]». Cet élément n’est pas démontré, encore moins quant au moment où il aurait eu lieu et son intensité. L’appelante invoque encore le témoignage de « [...]» (pièce 24). On peut se référer sur ce point à l’appréciation de l’autorité précédente, convaincante, figurant à la page 7 du jugement querellé, lorsqu’elle relève qu’il résulte essentiellement de l’échange non daté de messages entre les employés de l’appelante et la cliente prénommée [...] que celle-ci s’est plainte, à un moment que l’on ignore, d’avoir croisé des « gens bizarres » et d’avoir été – a priori à une seule occasion – abordée par quelqu’un après avoir constaté qu’il y avait un salon d’escorts. Le tribunal a dès lors indiqué qu’il ne saurait être question de déduire de cette plainte isolée que de tels événements se seraient produits à d’autres occasions. On ne sait ni si cette personne a réellement sous-loué un appartement à l’appelante, ni la date à laquelle elle aurait loué un tel logement. S’agissant de la pièce 21, censée démontrer le préjudice de l’appelante du fait du défaut, on suivra également l’appréciation de l’autorité précédente (page 8 du jugement entrepris), étant relevé au surplus que cette pièce – ni aucun autre élément du dossier d’ailleurs – n’établit un rapport de causalité entre les pertes financières évoquées et le défaut de la chose louée, non prouvé. L’appelante se réfère encore au témoignage de J.________, directeur de la gérance. Ce témoin a attesté que l’appelante s’était souvent plainte des nuisances liées aux passages en lien avec l’activité de prostitution. Il a toutefois été vague sur la période à laquelle les plaintes de l’appelante ont été émises. Comme vu ci-dessus, la confirmation de telles plaintes n’établit pas la réalité des nuisances dénoncées ni, encore une fois, la durée et l’intensité de dites nuisances. Au vu de ces éléments, il convient de retenir, à l’instar de l’autorité précédente et conformément à l’art. 8 CC, que l’appelante n’a pas établi les nuisances qu’elle invoque à l’appui d’un état prétendument défectueux des appartements loués, en particulier l’existence d’inconvénients propres à diminuer dans une mesure non négligeable l'usage desdits appartements, pour une période ou une autre. Le grief d’appréciation inexacte des preuves et de constatation inexacte des faits est à cet égard infondé. On notera encore que si l’appelante invoque de nombreux faits nouveaux, ceux-ci, pour peu qu’ils eussent été considérés comme ayant été prouvés, n’établissent (toujours) pas l’existence des inconvénients dénoncés à la base du défaut invoqué. 5.2.3 A ce stade déjà, on constate qu’au vu des faits établis, l’autorité précédente a nié à juste titre l’existence d’un défaut de la chose. On notera à cet égard que l’appelante (et son administrateur président depuis sa constitution en 1990) connaissait les deux parties de l’immeuble pour les avoir chacune louées dès 1996. Elle savait ainsi parfaitement ce qui se passait dans la partie nord de l’immeuble, pour avoir elle-même favorisé l’activité de prostitution lorsqu’elle sous-louait les appartements sis au nord. Dans la mesure où il est établi qu’elle a loué tous les appartements de l’immeuble notamment entre 1996 et 2009, elle ne pouvait en outre ignorer que les portes internes entre les deux parties de l’immeuble, installées après 1995 mais bien avant qu’elle ne renouvelle en 2013 le contrat de bail ici objet de la procédure, étaient des portes de secours qui devaient comme telles rester ouvertes ou à tout le moins ouvrables. Leur nature ne fait effectivement aucun doute, au vu notamment de la photographie figurant sur la pièce 110 (étiquette « issue de secours » au-dessus de la porte). L’appelante a au demeurant admis qu’en 1995 la partie nord et la partie sud de l’immeuble litigieux ont été séparées au moyen de portes de sécurité destinées à l’évacuation en cas d’incendie et a allégué elle-même les avoir fermées (all. 25 demande et pièce 110), ce qui sous-entendait qu’avant son intervention ces portes étaient ouvertes et donc que les personnes voulant rejoindre la partie nord de l’immeuble par le sud pouvaient passer par l’entrée sise [...]. Dans ces circonstances, on ne peut admettre que l’appelante ait légitimement pu penser, notamment lors de la reconduction du bail à loyer en 2013 ou en 2019, que les deux parties seraient totalement et définitivement séparées, ni que les clients des appartements sis au nord – qu’elle sous-louait elle-même auparavant – ne continueraient pas à passer par l’entrée du [...]. On ne saurait ainsi considérer, comme le soutient l’appelante, que l’usage convenu entre les parties aurait impliqué une séparation fixe des deux parties de l’immeuble et l’impossibilité de se rendre dans la partie nord en passant par l’entrée sud, de sorte que l’absence de séparation fixe entre les parties nord et sud constituerait un défaut. Au demeurant, comme exposé ci-dessus, faute d’avoir établi l’existence de nuisances non négligeables en résultant, on ne saurait voir cela comme un défaut de la chose louée. En définitive, l’appelante n’ayant pas apporté la preuve d’un défaut de la chose louée, l’une des conditions posées par l’art. 259a CO pour fonder un droit à la remise en état de la chose, à une réduction proportionnelle du loyer, à des dommages-intérêts et à la consignation du loyer, fait défaut et les conclusions de l’appelante fondées sur de tels droits ne peuvent qu’être rejetées. 6. 6.1 Après avoir contesté les faits, l’appelante se plaint du refus de l’autorité précédente de procéder à une inspection locale ou de mettre en œuvre une expertise, griefs qu’il y a également lieu d’examiner. Quant aux intimés, ceux-ci soutiennent que c’est à bon droit que l’autorité précédente n’aurait pas mis en œuvre une inspection locale, dans la mesure où l’appelante aurait pu requérir l’audition de certains de ses clients qui auraient subis ces éventuelles nuisances en qualité de témoins. Les intimés relèvent en outre que la décision de ne pas ordonner une expertise ne prêterait pas le flanc à la critique, dès lors que l’appelante n’aurait pas été en mesure de prouver son dommage sur la seule base des relevés établis par elle-même. Elle n’aurait ainsi produit aucun élément susceptible d’être soumis à l’expert pour déterminer le montant de son préjudice, ce d’autant que l’expertise n’aurait pas pour fonction de palier le défaut de moyens de preuve d’une partie. L’autorité précédente a considéré, s’agissant de l’inspection locale, laquelle avait été requise par l’appelante en vue d’établir l’existence d’un passage entre les deux parties de l’immeuble, que celle-ci était inutile. En effet, elle a relevé que la seule possibilité pour les usagers de la partie nord de l’immeuble d’accéder à la partie sud de celui-ci n’était aucunement déterminante, en l’absence de preuve des répercussions concrètes de ce passage pour l’appelante et ses clients. Quant à la preuve par expertise requise, le tribunal a indiqué que sa mise en œuvre ne paraissait pas justifiée, dès lors qu’il était apparu que l’existence d’un défaut de la chose louée n’était pas démontrée. 6.2 En procédure civile, le droit d'être entendu trouve son expression à l’art. 53 al. 1 CPC, qui reprend la formulation générale de l’art. 29 al. 2 Cst ([Constitution fédérale de la Confédération suisse du 18 avril 1999 ; RS 101] ; ATF 142 III 48 consid. 4.1.1). Il trouve également sa consécration dans diverses autres dispositions du Code ; il en va ainsi du droit à la preuve (art. 152 CPC) (Haldy, Commentaire romand, Code de procédure civile, Bâle 2019 [ci-après : CR-CPC], 2 e éd., n. 13 ad art. 53 CPC). Conformément à l’art. 152 al. 1 CPC, toute partie a droit à ce que le tribunal administre les moyens de preuve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 6.3 S’agissant tout d’abord du refus de l’autorité précédente de procéder à une inspection locale, celle-ci l’a dûment motivé en pages 20 et 21 du jugement querellé. A l’encontre de ce refus, l’appelante invoque que cette preuve portait sur les all. 5, 14, 15 et 28 de sa demande du 24 février 2020. En l’espèce, l’ensemble des prétentions de l’appelante dépend de l’existence d’un prétendu défaut constitué par les nuisances provoquées par les usagers d’un salon de massage ou de prostitution, soi-disant sis dans l’immeuble au [...], lors de leur passage par l’entrée et à travers l’immeuble où se trouvent les appartements loués par l’appelante et lors de la sortie. Une inspection locale pourrait selon elle permettre de constater qu’il existe un passage entre les deux parties de l’immeuble. Ce fait est toutefois déjà prouvé autrement, de sorte qu’une inspection locale ne se justifie pas. Il en va de même de la situation de l’immeuble n° [...] au vu des plans produits au dossiers. Pour le surplus, l’inspection locale ne serait pas de nature à établir en aucune manière une immission nuisible et plus que ponctuelle des usagers de la partie nord de l’immeuble dans la partie sud de celui-ci. Dans ces conditions, c’est à bon droit que l’autorité précédente a refusé l’inspection locale demandée. Comme relevé par celle-ci, il n’a pas été démontré que l’appelante avait réellement subi des nuisances reportées sur les personnes à qui elle sous-louait les appartements, dès lors qu’elle n’a pas apporté de témoignages (écrits ou oraux) établissant dites nuisances sur la période litigieuse. L’appelante invoque encore le fait que le refus d’ordonner une inspection locale aurait impacté négativement la force probante des autres moyens de preuve qu’elle avait offerts à l’appui de ses écritures. Elle a donné pour exemple le fait que l’inspection locale aurait permis d’établir que c’est à tort que le jugement entrepris a retenu que les personnes photographiées auraient pu être ses propres clients, dès lors qu’un déplacement sur place aurait démontré, au vu de la configuration des lieux, que les personnes photographiées entreraient – sans qu’aucun doute puisse subsister – dans le salon de massage et de prostitution. Cet argument ne saurait être retenu, dès lors que les personnes entrant par la porte sise [...] pouvaient tout aussi bien être les clients de l’appelante qui ne disposaient que de cette porte pour rentrer dans les 23 appartements loués par elle-même. L’inspection locale ne saurait rien amener sur ce point, encore moins démontrer a posteriori qu’une personne photographiée à un moment donné serait nécessairement un client d’un salon de massage et non un utilisateur de l’immeuble dans lequel il rentre. Enfin, il est rappelé que la seule possibilité pour les usagers de la partie nord de l’immeuble d’accéder à la partie sud de celui-ci n’est aucunement déterminante, en l’absence de preuve des répercussions concrètes de ce passage pour l’appelante et ses clients. 6.4 S’agissant du refus de mettre en œuvre une expertise afin de déterminer le dommage que l’appelante dit avoir subi, on relèvera que les éléments propres à retenir un défaut à une période ou à une autre n’ont pas été prouvés par l’appelante. En conséquence, il n’y a pas lieu d’établir le chiffre d’affaires réalisé par l’appelante pour la période litigieuse. On relèvera au surplus que l’indemnisation d’un préjudice exige la preuve non seulement d’un dommage et d’un défaut, mais également d’un rapport de causalité naturelle et adéquate entre ces deux derniers éléments. Or, un tel rapport, concernant un défaut qui n’a pas été établi, ne l’a pas été non plus. Cet élément rend encore totalement inutile la mise en œuvre de l’expertise requise, celle-ci n’étant clairement pas propre à établir un lien entre le défaut et le préjudice allégué. Le refus de l’autorité précédente, pour ces motifs déjà, ne prête pas le flanc à la critique, ce qui rend sans objet les arguments de l’appelante quant à la question de savoir si elle avait produit les pièces nécessaires à la mise en œuvre de l’expertise requise. 7. 7.1 En définitive, l'appel doit être rejeté et le jugement confirmé. 7.2 Vu l'issue de l'appel, les frais judiciaires de deuxième instance, arrêtés à 2'618 fr. (art. 62 al. 1 TFJC [tarif des frais judiciaires civils du 28 septembre 2010 ; BLV 270.11.5]), seront mis à la charge de l'appelante (art. 106 al. 1 CPC). L'appelante devra en outre verser aux intimés de pleins dépens de deuxième instance, arrêtés à 4’000 fr. (art. 3 et 7 TDC [tarif des dépens en matière civile du 23 novembre 2010 ; BLV 270.11.6]).</w:t>
      </w:r>
    </w:p>
    <w:p>
      <w:r>
        <w:rPr>
          <w:b/>
        </w:rPr>
        <w:t>E. 8</w:t>
      </w:r>
    </w:p>
    <w:p>
      <w:r>
        <w:t>CC ne permet pas de remettre en question l’appréciation des preuves effectuée par le juge, ni de critiquer son appréciation quant à l’aptitude d’un moyen de preuve à démontrer un fait pertinent (TF 4A_76/2020 du 9 juin 2020 consid. 3.2 ; TF 4A_607/2015 du 4 juillet 2016 consid. 3.2.2.3 ; TF 4A_76/2010 du 9 juin 2020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