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22/2013/PMR vom 22. März 2013</w:t>
      </w:r>
    </w:p>
    <w:p>
      <w:r>
        <w:t>VD Tribunal cantonal, 2013-03-22, FR</w:t>
      </w:r>
    </w:p>
    <w:p>
      <w:r>
        <w:rPr>
          <w:b/>
        </w:rPr>
        <w:t xml:space="preserve">Quelle: </w:t>
      </w:r>
      <w:r>
        <w:t>https://mcp.opencaselaw.ch/entscheid/vd_findinfo_22_2013_PMR</w:t>
      </w:r>
    </w:p>
    <w:p>
      <w:r>
        <w:t>FR: VD_FINDINFO 22/2013/PMR du 22 mars 2013</w:t>
      </w:r>
    </w:p>
    <w:p>
      <w:r>
        <w:t>IT: VD_FINDINFO 22/2013/PMR del 22 marzo 2013</w:t>
      </w:r>
    </w:p>
    <w:p>
      <w:pPr>
        <w:pStyle w:val="Heading2"/>
      </w:pPr>
      <w:r>
        <w:t>Regeste</w:t>
      </w:r>
    </w:p>
    <w:p>
      <w:r>
        <w:t>ACTION EN RÉPARATION DU TORT MORAL, CONCURRENCE DÉLOYALE, LOI FÉDÉRALE CONTRE LA CONCURRENCE DÉLOYALE, DÉNIGREMENT, TORT MORAL, ACTION EN DOMMAGES-INTÉRÊTS{EN GÉNÉRAL}, DOMMAGES-INTÉRÊTS, HONORAIRES, PROTECTION DE LA PERSONNALITÉ, PERSONNE MORALE | 3 al. 1 let. a LCD, 3 LCD, 9 al. 1 LCD, 9 al. 2 LCD, 9 al. 3 LCD, 9 LCD</w:t>
      </w:r>
    </w:p>
    <w:p>
      <w:pPr>
        <w:pStyle w:val="Heading2"/>
      </w:pPr>
      <w:r>
        <w:t>Erwägungen</w:t>
      </w:r>
    </w:p>
    <w:p>
      <w:r>
        <w:rPr>
          <w:b/>
        </w:rPr>
        <w:t>E. 20</w:t>
      </w:r>
    </w:p>
    <w:p>
      <w:r>
        <w:t>let. a CPC, le tribunal du domicile ou du siège de l’une des parties est compétent pour statuer sur les actions fondées sur une atteinte à la personnalité. Les demanderesses (lésées) ont leur siège au [...]. Ainsi, que l’on se place sous l’angle de l’art. 36 CPC ou de l’art. 20 let. a CPC, les tribunaux vaudois sont compétents pour connaître de la présente cause. b) Conformément à l’art. 74 al. 3 LOJV (loi d'organisation judiciaire du 12 décembre 1979, RSV 173.01), dans sa teneur en vigueur dès le 1 er janvier 2011, la Cour civile du Tribunal cantonal connaît en instance cantonale unique des affaires civiles ressortissant à l’art. 5 CPC – parmi lesquelles on compte les litiges relevant de la LCD lorsque la valeur litigieuse dépasse 30'000 fr. (art. 5 al. 1 let. d CPC). Si le litige porte sur une prétention ayant plusieurs fondements, l’un de ces derniers relevant de l’instance cantonale unique, celle-ci pourra être saisie pour l’intégralité de la prétention (Haldy, op, cit., n. 5 ad art. 5 CPC et la réf. citée). En l’espèce, la présente cause relève de la LCD et la valeur litigieuse dépasse 30'000 francs. Il faut donc considérer que la Cour civile est compétente pour connaître des conclusions prises par les demanderesses, tant sous l’angle de la LCD que sous celui des art. 28 ss CC. III. Les art. 28ss CC ont un caractère subsidiaire par rapport aux règles spéciales qui instaurent un régime de responsabilité pour des atteintes particulières à la personnalité, à l’instar des art. 2 ss LCD (TF 4C.224/2005 du 12 décembre 2005 c. 2.4 et les réf. citées). Partant, il convient d’examiner les prétentions des demanderesses en premier lieu à la lumière de la LCD. a)i) En droit de la concurrence déloyale, la légitimation active est reconnue à celui qui, par un acte de concurrence déloyale, subit une atteinte dans sa clientèle, son crédit ou sa réputation professionnelle, ses affaires ou ses intérêts économiques en général ou celui qui en est menacé (art. 9 al. 1 LCD). La légitimation passive appartient à quiconque a provoqué ou menace de provoquer par ses agissements une atteinte à la concurrence loyale. Il n'est pas nécessaire que l'auteur se trouve dans un rapport de concurrence avec le lésé. Il suffit que son comportement exerce une influence sur les relations entre concurrents ou entre fournisseurs et clients, c’est-à-dire qu’il ait un impact sur le marché et la concurrence économique. Des journalistes ou des entreprises de presse peuvent donc être actionnés s’ils ne s’en tiennent pas aux règles de la concurrence loyale et donnent sur des tiers des informations inexactes ou fallacieuses (TF 4C.167/2006 du 16 mai 2007 c. 6.1.1; TF 4C.224/2005 précité c. 2.2.2). On peut généralement attaquer cumulativement l’auteur, le rédacteur responsable, l’éditeur, l’annonceur ou toute autre personne qui a participé à la diffusion du journal, car l’atteinte résulte du comportement de tous ceux qui participent à la diffusion de l’information (ATF 131 III 26 c. 12.1). ii) Les actes reprochés au défendeur relèvent de son activité de journaliste. Ils consistent en la publication d'écrits dans un magazine on-line à caractère économique, qui a pour vocation d'informer et donc d'influencer les acteurs du marché de l'horlogerie et de la joaillerie. Les demanderesses sont ainsi légitimées à faire valoir des prétentions sur la base de la LCD, alors que le défendeur a la légitimation passive. b)i) A teneur de l'art. 2 LCD, est déloyal et illicite tout comportement ou pratique commercial qui est trompeur ou qui contrevient de toute autre manière aux règles de la bonne foi et qui influe sur les rapports entre concurrents ou entre fournisseurs et clients. Cette clause générale est concrétisée aux art. 3 à 8 LCD, lesquels donnent un catalogue non exhaustif des agissements déloyaux (TF 4C.170/2006 du 28 août 2006 c. 3; TF 4C.224/2005 précité c. 3.2). Selon l’art. 3 let. a LCD, agit de façon déloyale celui qui dénigre autrui, ses marchandises, ses oeuvres, ses prestations, ses prix ou ses affaires par des allégations inexactes, fallacieuses ou inutilement blessantes. Par dénigrer il faut comprendre s’efforcer de noircir, de faire mépriser (quelqu’un ou quelque chose) en disant du mal, en attaquant, en niant les qualités. Un propos est dénigrant lorsqu’il rend méprisable le concurrent, ses marchandises, etc. Tout propos négatif ne suffit pas : il doit revêtir un certain caractère de gravité. Dénigre par exemple un produit mis sur le marché celui qui le dépeint comme sans valeur, d’un prix surfait, inutilisable, entaché de défauts ou nuisible. Une allégation n’est pas déjà illicite au sens de l’art. 3 let. a LCD du seul fait qu’elle dénigre les marchandises de la personne visée;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de la personne visée, respectivement de ses prestations au sens large, une image négative, outrancière, que la lutte économique ne saurait justifier (TF 4A_481/2007 du 12 février 2008 c. 3.3; TF 4C.167/2006 du 16 mai 2007 c. 6.1.2). A l'inverse, en l'absence de dénigrement, l'art. 3 let. a LCD n'est pas applicable, même si les propos incriminés sont inexacts ou fallacieux (Born, UWG versus Medien, Unter besonderen Berücksichtigung der aktuellen Rechtsprechung, Medialex 2010, pp. 134 ss). Pour déterminer si une ou plusieurs expressions contenues dans des articles de presse sont dénigrantes au sens de l'art. 3 let. a LCD, il y a lieu de se fonder sur l'impression que se forge le lecteur moyen non prévenu, qui ne dispose pas de connaissances techniques particulières et prête aux allégations publiées l'attention commandée par les circonstances. Chacune des allégations concernées doit être analysée séparément. Une impression d'ensemble négative pourra influencer l'interprétation des différentes allégations, mais elle ne sera pas déterminante à elle seule (TF 4C.167/2006 précité c. 6.1.2; TF 4C.224/2005 précité c. 3.2; ATF 124 IV 162, JT 1999 I 450). La notion de caractère déloyal (Unlauterkeit), c’est-à-dire d’illicéité, doit encore être interprétée conformément à la Constitution fédérale de la Confédération suisse du 18 avril 1999 (Cst., RS 101), en particulier à la lumière de l’art. 16 Cst., qui traite des libertés d’opinion et d’information, et de l’art. 17 Cst. concernant la liberté des médias. En effet, l'application de la LCD ne doit pas faire obstacle au but assigné par le constituant à la fonction même des médias dans le monde économique, qui consiste à susciter un débat, informer le public sur les faits d'intérêt général, sur les évènements économiques, de façon à favoriser l'échange des opinions et la discussion politique. Le Tribunal fédéral considère ainsi qu'il convient de n'admettre qu'avec retenue l’existence d’un dénigrement déloyal commis par voie de presse (TF 4C.167/2006 précité c. 6.1.2 et les réf. citées, TF 4C.224/2005 précité c. 3.2). ii) Les demanderesses invoquent l’illicéité des passages suivants : 7 mars 2011 : "commentaire de celui qui nous l’a racontée : "faut-il qu’ils soient dans la m... pour s’offrir un expert en couches-culottes" ! "A moins qu’un membre du conseil d’administration n’ait compris le ridicule de la situation d’un choix gênant au mauvais moment..." 13 mars 2011 : "Chez [...], histoire de crier sur tous les toits qu’elle est vraiment dans la m…" 15 avril 2011 : "… et pour vouloir ainsi "marquer à la culotte", avec une attitude qui sent un peu trop le me too suiviste. Erreur tactique!</w:t>
      </w:r>
    </w:p>
    <w:p>
      <w:r>
        <w:rPr>
          <w:b/>
        </w:rPr>
        <w:t>E. 25</w:t>
      </w:r>
    </w:p>
    <w:p>
      <w:r>
        <w:t>avril 2011 : "283 e " et "comme d'habitude".</w:t>
      </w:r>
    </w:p>
    <w:p>
      <w:r>
        <w:rPr>
          <w:b/>
        </w:rPr>
        <w:t>E. 27</w:t>
      </w:r>
    </w:p>
    <w:p>
      <w:r>
        <w:t>mai 2011 : " La toujours jeune et toujours sympathique manufacture E.________ n’allait tout de même pas utiliser des peaux de brochet du lac de [...]. Dans la vallée, on a dû rater les campagnes anti-galuchat, pourtant signées par de nombreuses marques, dont toutes celles du [...] Group. Donc, autant continuer à utiliser les bracelets en galuchat dont on dispose et dont on sait par ailleurs qu’ils ne doivent pas être si écologiquement corrects que ça, puisqu’on a décidé, parallèlement de ne plus en acheter. Des économies de bouts de chandelle, pitoyables pour une marque qui met si volontiers en avant sa conscience environnementale et son éthique "responsable"..." 24 juin 2011 : "une marque tirée à hue et à dia ces dernières années" 8 juillet 2011 : " … CONSTATE QUE LE NEZ DES PINOCCHIO DU [...] VENAIT DE S’ALLONGER A LA HAUTEUR DE LA [...]… ", "où on pratique simultanément I’omerta, le refus autiste de répondre aux questions et le démenti non convaincant." "qui a heureusement un bon copain au board" "Si Pinocchio était [...], son nez s’élèverait à la hauteur de la [...]..." "Pour ce qui est de la « redistribution du capital » évoquée par votre Quotidien des Montres, le démenti formel des « prétendus changements dans la structure familiale » amusera beaucoup les insiders , mais sans convaincre les sceptiques, tellement la « redistribution en cours » dont nous parlions est l'objet d'âpres négociations « familiales » – ce qui est une procédure on ne peut plus normale et naturelle, à propos de laquelle de simples explications seraient préférables au présent déni de réalité…" 9 juillet 2011 : " ... LE NEZ DES PINOCCHIO DU [...] QUI S’ALLONGE MAINTENANT AU-DESSUS DE LA [...]... C’est la roche qui domine [...], mais Pinocchio a un nez qui peut battre tous les records dès qu’il raconte des salades! Apparemment, chez E.________, on n’a pas apprécié les hypothèses de Z.________ sur la succession de [...], d’où le démenti du conseil d’administration, qui a visiblement du mal à faire la différence entre démentir et mentir (Z.________ du 8 juillet, info n. 6)..." 10 juillet 2011 : " La mort dans l'âme, ceux qui aiment cette grande maison la voient s'enfoncer , mois après mois, dans une ankylose stratégique que ne sanctionnent pas encore vraiment les résultats commerciaux, mais qui n'en obère pas moins l'avenir" et "Les changements annoncés au sommet de la hiérarchie et la "redistribution du capital" que certains préparent (indiscrétion Z.________ du 24 juin, info n. 7) suffiront-ils à redresser la barre?" 12 décembre 2011 : " … Pas une réaction, sinon celle d'un certain malaise devant ces « professions de foi » qui s'apparentaient vaguement à ces techniques de programmation neuro-linguistique dévoyées par les nouvelles sectes religieuses. Dans le style « Bonjour, je fais partie de la grande famille E.________ et je m'engage à faire ceci ou cela »… Pas de quoi faire d’E.________ une succursale de la scientologie, mais ça se murmurait dans les coulisses, où chacun avait soigneusement noté une absence parmi ces « professions de foi » des dirigeants de l'entreprise : pas d’intervention vidéo de [...], qui a paru très fatigué et comme démotivé… ". De manière générale, on constate que le défendeur mentionne les demanderesses dans ses écrits presque exclusivement pour critiquer leurs agissements. Le contenu de ces publications relève du persiflage, de la vitupération; il s'en dégage une évidente envie de nuire, en salissant l'image des demanderesses. Cette impression d'ensemble négative ne permet toutefois pas à elle seule de considérer que la publication des textes du défendeur est illicite. Il faut encore examiner individuellement chacun des passages incriminés. Dans les brèves des 7 et 13 mars 2011, les demanderesses sont facilement identifiables : le contexte général des publications du défendeur fait apparaître de manière suffisamment claire son inimitié envers elles pour que même un lecteur non averti puisse reconnaître qu'elles sont visées par ses propos. Le défendeur y remet en question la compétence des organes des demanderesses sur la base de déductions pour le moins hâtives, qui échappent à toute logique. Il utilise en outre des termes orduriers. Ces brèves sont – pour le moins – inutilement blessantes, tant sur la forme que sur le fond. Elles sont également contraires à la réalité, le nouveau directeur marketing concerné ayant travaillé pour le groupe [...], mais pas pour la marque [...]. La publication de ces textes doit dès lors être qualifiée d'acte déloyal au sens de l'art. 3 let. a LCD. Il en va de même de la brève du 15 avril 2011, dont les propos méprisants ne sont pas conformes à la réalité, les contacts entre les demanderesses et [...] ayant précédé l’annonce par [...] de la conclusion d’un contrat avec les [...] et un joueur de cette équipe. Dans la brève du 25 avril 2011, le défendeur tourne en dérision les nombreuses déclinaisons du produit phare de la marque des demanderesses, laissant clairement entendre que ces dernières se répéteraient à l’infini dans la production de leurs modèles de montres. La publication de ce texte dénigrant et fallacieux constitue aussi un acte déloyal au sens de l'art. 3 let. a LCD. Dans la brève du 27 mai 2011, l'honnêteté des demanderesses est mise en doute de manière fallacieuse. Certes, seules la stratégie commerciale et la gestion au sens large du groupe des demanderesses sont blâmées, alors que la qualité des produits n'est pas critiquée. Toutefois, le reproche ternit clairement l'image des demanderesses puisqu'il remet en cause leur intégrité. Par ailleurs, les termes "économie de bouts de chandelle" et surtout "pitoyables" sont à l'évidence méprisants. Les propos tenus par le défendeur sont d'ailleurs inexacts, puisque les demanderesses avaient décidé de détruire les stocks de galuchat. Ils sont particulièrement pernicieux : en instrumentalisant la conscience écologique du lecteur, ils tendent à discréditer l'éthique des demanderesses. La médiatisation de ces propos tombe sous le coup de l'art. 3 let. a LCD. Il en va de même de la brève du 24 juin 2011. Son texte donne l'impression d'une perte de maîtrise totale des organes des demanderesses, qui subiraient passivement les soubresauts de l'économie, sans parvenir à diriger leur groupe. L'allégation apparaît inexacte puisque le défendeur reconnaît lui-même, dans une autre brève, que les résultats commerciaux n'ont pas encore été affectés par les divers manquements et l'absence totale de stratégie qu'il impute aux demanderesses; elle est dans tous les cas inutilement blessante et elle donne des demanderesses une image particulièrement négative. La publication de ce texte est donc déloyale au sens de l'art. 3 let. a LCD. Pour ce qui est des brèves des 8 et 9 juillet 2011, force est de constater que leur contenu est tout simplement injurieux : les demanderesses sont accusées de mentir. La mention selon laquelle le défendeur disposerait d'informateurs parmi les demanderesses laisse penser à des dissensions au sein de leur direction, ce qui ternit à l'évidence leur image. Ces textes sont de nature à faire douter le lecteur moyen et non averti de la crédibilité et de la stabilité du groupe des demanderesses. Purement dénigrants et fallacieux, ils portent atteinte à l'image de ces dernières. Partant, leur publication est illicite. Le texte publié par le défendeur le 10 juillet 2011 véhicule une image outrageusement négative des demanderesses. Le défendeur y laisse entendre que le déclin de leur groupe serait inévitable. Cette appréciation est d'autant plus pernicieuse que l'auteur précise qu'elle n'est pas fondée sur une péjoration des résultats commerciaux des demanderesses, mais sur le constat de l'incompétence durable de leurs organes dirigeants. Ce faisant, il installe un doute nuisible aux relations commerciales des demanderesses, qui fausse le jeu de la concurrence. Enfin, dans la brève publiée le 12 décembre 2011, le défendeur assimile le comportement des représentants des demanderesses à des procédés sectaires, en particulier ceux de l’église de scientologie. Un tel rapprochement est manifestement de nature à dénigrer les demanderesses; il sous-entend que l’employeur aurait un comportement abusif, arbitraire ou inapproprié vis-à-vis des employés. La publication de ce texte est donc déloyale au sens de l'art. 3 let. a LCD. IV. En premier lieu, les demanderesses requièrent qu’il soit prononcé que les textes examinés au considérant précédent portent illicitement atteinte à leur personnalité et sont déloyales au sens de l’art. 3 LCD (conclusion I). a) Aux termes de l’art. 9 al. 1 let. c LCD, celui qui, par un acte de concurrence déloyale, subit une atteinte dans sa clientèle, son crédit ou sa réputation professionnelle, ses affaires ou ses intérêts économiques en général ou celui qui en est menacé, peut demander au juge d’en constater le caractère illicite, si le trouble qu’elle a créé subsiste. Cela étant, en règle générale, l’action en constatation de droit est irrecevable lorsque le demandeur dispose d’une action condamnatoire, par exemple d’une action en cessation (ATF 130 III 636, JT 2004 I 331; Poudret/Haldy/Tappy, Procédure civile vaudoise, 3 ème éd., Lausanne 2002, n. 2 ad art. 265 CPC-VD; sur les exceptions à ce principe, cf. Hohl, Procédure civile, t. I, Berne 2001, n. 143). Cependant, les conclusions doivent être interprétées de manière objective, conformément aux principes généraux et selon les règles de la bonne foi (ATF 105 II 149 c. 2a, JT 1980 I 177; Abbet, Le principe de la bonne foi en procédure civile, in : SJ 2010 II 221, note infrap. n. 169, p. 247). La lettre des conclusions n’est pas déterminante à elle seule; il convient bien plutôt de prendre en compte toutes les circonstances ayant accompagné leur formulation (Guldener, Schweizerisches Zivilprozessrecht, 3 ème éd., Zurich 1979, p. 262). b) En l’espèce, force est de constater que le premier chef des conclusions des demanderesses est purement constatatoire et qu’il a le même fondement et porte sur le même objet que les conclusions en interdiction prises sous ch. IV. Il doit par conséquent être rejeté. V. Les demanderesses requièrent ensuite qu’il soit ordonné au défendeur de cesser, respectivement qu’il lui soit interdit de dénigrer leurs marchandises, prestations ou affaires (conclusions II et III). a) A teneur de l’art. 9 al. 1 let. a et b LCD, le lésé peut demander d’interdire l’atteinte, si elle est imminente, et de la faire cesser, si elle dure encore. L’objet de la demande en cessation ou en interdiction doit être défini de manière précise, la conclusion pouvant être reprise telle quelle dans le dispositif du jugement. La partie concernée par l’interdiction doit être en mesure de saisir ce qu’elle ne doit plus faire et les autorités d’exécution ou les autorités pénales doivent savoir quels sont les actes qu’elles sont tenues d’empêcher ou qu’elles peuvent assortir d’une peine. Si l’on fait valoir auprès de ces autorités que le défendeur a commis un acte interdit malgré l’injonction du juge civil, celles-ci doivent seulement avoir à vérifier si les conditions de fait invoquées sont remplies; en revanche, elles ne doivent pas être amenées à qualifier sur le plan juridique le comportement en cause. Il est donc déterminant que le défendeur puisse connaître les limites de l’interdiction sans efforts d’interprétation et qu’aucune difficulté ne puisse surgir au moment de l’exécution du jugement. Des conclusions générales sont donc inadmissibles (TF 4A _460/2011 du 20 décembre 2011 c. 2.1; TF 4A_103/2008 du 7 juillet 2008 c. 10.1; TF 4C.401/2004 du 9 mars 2005 c. 3.1; Troller, Précis du droit suisse des biens immatériels, 2 ème éd., Bâle 2006, p. 380; Schlosser, Les conditions d’octroi des mesures provisionnelles en matière de propriété intellectuelle et de concurrence déloyale, in : sic ! 2005 p. 341 et les réf. citées; Barbey, Mesures provisionnelles devant la Cour de justice dans le droit de la propriété intellectuelle, de la concurrence déloyale et des cartels, in : SJ 2005 II 335, spéc. p. 348). b) En l’espèce, les conclusions II et III des demanderesses ne font que reprendre l’interdiction légale figurant dans la LCD; elles sont insuffisamment précises. Un chiffre de dispositif qui les reprendrait ne serait pas exécutable comme tel; il appartiendrait au juge de l’exécution de déterminer si le comportement reproché au défendeur est ou non contraire à la LCD, en d’autres termes de se livrer à un examen matériel qui ressortit au juge du fond. Partant, ces conclusions doivent être rejetées. VI. Les demanderesses concluent encore à ce qu’il soit ordonné au défendeur de retirer immédiatement de son site les textes examinés sous c. III ci-dessus. a) L’action en cessation prévue par l’art. 9 al. 1 let. b LCD ne peut être dirigée que contre des violations qui persistent au moment du dépôt de la demande ou dont la commission est imminente. Il en va ainsi lorsque le comportement du défendeur laisse sérieusement craindre une violation des droits du demandeur, par exemple lorsqu’il a déjà commis des atteintes dont la répétition n'est pas à exclure ou si des indices concrets indiquent qu'il va commettre de telles atteintes. A l'inverse, une menace hypothétique, pour le cas où il viendrait à l'idée du défendeur d'agir comme on le craint, ne permet pas de conclure à l'imminence de l'atteinte. En règle générale, le danger de répétition des actes incriminés est présumé si le défendeur a déjà commis une telle violation et qu'il ne reconnaît pas les droits du demandeur ou nie à tort que les actes qu'on lui reproche constituent une atteinte illicite à ces droits-là. Cette présomption peut être renversée si le défendeur établit des circonstances qui excluent une récidive dans le cas concret ou qui la font apparaître comme invraisemblable. Il y a cependant lieu de poser des exigences strictes à cet égard. Ainsi, la cessation des violations ne suffira pas à renverser la présomption; il en ira de même de la simple déclaration du défendeur selon laquelle il renonce à des atteintes futures, si l'intéressé ne reconnaît pas simultanément la prétention du demandeur (TF 4A_529/2008 du 9 mars 2009 c. 4.1 et les réf. citées; Troller, op. cit., p. 380 et les réf. citées). b) En l’espèce, le défendeur a publié des textes offensants à l'égard des demanderesses pendant les mois d'avril et mai 2010. Par ordonnance du 14 mai 2010, le Juge instructeur de la Cour civile a ordonné le retrait de certains passages de ces textes, à la requête des demanderesses. Malgré ces injonctions, le défendeur a publié de nouvelles brèves, dont les demanderesses ont à nouveau mis en cause la licéité. Finalement, lors de l'audience de mesures provisionnelles du 22 juin 2010, le défendeur s'est engagé conventionnellement à retirer les passages concernés. En mars 2011, soit moins d'une année après la conclusion de cette convention, le défendeur a commencé à publier les textes objets de la présente procédure. Alors qu'il lui avait été ordonné par mesures superprovisionnelles de retirer certains passages de ses "brèves" sans accompagner ces suppressions de quelque commentaire que ce soit, le défendeur à inséré, en lieu et place des passages incriminés, la mention "passages supprimés à la demande d’E.________" ce qui était, une fois de plus, de nature à nuire aux demanderesses. Le 12 décembre 2011, il a publié un nouveau texte dénigrant les demanderesses. En résumé, le défendeur montre à l'égard des demanderesses un acharnement que l'on pourrait presque qualifier de compulsif. En outre, il n’a nullement reconnu en cours de procédure le caractère contraire au droit de son comportement. Dans de telles conditions, l'imminence de l'atteinte invoquée par les demanderesses doit être présumée, sans qu'aucun élément ne permette de renverser cette présomption. La conclusion IV prise par les demanderesses doit donc être allouée telle que libellée. Comme requis par les demanderesses (conclusion V), l’injonction doit être assortie de la menace au défendeur de la peine d'amende prévue à l'art. 292 du Code pénal suisse du 21 décembre 1937 (CP, RS 311.0), qui réprime l'insoumission à une décision de l'autorité (Troller, op. cit., p. 380). VII. Les demanderesses concluent en outre à ce qu’il soit prononcé que le défendeur est leur débiteur à hauteur d’un montant de 129'392 fr. (conclusion VI), qu’elles décomposent comme suit : - 1 fr. à titre de diminution de la valeur des contrats de partenariat conclus avec des ambassadeurs tels que [...], [...] et [...], - 50'000 fr. à titre de réparation du tort moral subi, - 79'392 fr. à titre de remboursement des frais de conseils externes et internes. a) Nonobstant le texte de la conclusion précitée, on ne saurait admettre, de bonne foi, que les demanderesses voulaient qu’elle soit seulement  constatatoire : elles n’y avaient aucun intérêt et n’en ont d’ailleurs allégué aucun. Il apparaît au contraire qu’en postulant la reconnaissance judiciaire de leur créance, dont elles ont chiffré le montant d’une manière précise, elles entendaient en réalité en obtenir le paiement. Sanctionner d’irrecevabilité la demande dont les conclusions souffrent d’un pareil défaut de formulation procéderait d’un excès de formalisme, prohibé par l’art. 29 Cst. b) En vertu de l’art. 9 al. 3 LCD, le lésé peut, conformément au code des obligations, intenter des actions en dommages-intérêts et en réparation du tort moral, ainsi qu’exiger la remise du gain selon les dispositions sur la gestion d’affaires. A teneur de l’art. 42 al. 2 CO, lorsque le montant exact du dommage ne peut être établi, le juge le détermine équitablement en considération du cours ordinaire des choses et des mesures prises par la partie lésé. Il ressort des faits qu’en publiant ses articles, le défendeur a diminué la valeur des contrats de partenariat conclus entre les demanderesses et leurs ambassadeurs. Le montant de ce dommage n’est cependant pas déterminable. Il y a donc lieu, en application de l’art. 42 al. 2 CO, d’allouer aux demanderesses le franc symbolique qu’elles réclament à ce titre. c) La règle générale de l’art. 49 al. 1 CO prévoit la réparation du tort moral en faveur de celui qui subit une atteinte illicite à sa personnalité, pour autant que la gravité de l’atteinte le justifie et que l’auteur ne lui ait pas donné satisfaction autrement. Selon une jurisprudence constante, la protection de la personnalité peut être invoquée tant par une personne physique que par une personne morale, dans la mesure où elle ne touche pas à des caractéristiques qui, en raison de leur nature, appartiennent seulement aux personnes physiques (ATF 138 III 337 c. 6.1; ATF 121 III 168 c. 3a; ATF 108 II 241 c. 6). Au nombre des droits de la personnalité dont peuvent se prévaloir les personnes juridiques figurent notamment le sentiment de l’honneur (ATF 96 IV 148), la protection de la sphère privée ou secrète (ATF 97 II 97 c. 2), le droit à la considération sociale (ATF 121 III 168 c. 3a) et le droit au libre développement économique, qui est assuré actuellement dans une large mesure par la LCD (ATF 138 III 337 c. 6.1; ATF 121 III 168 c. 3a). La fixation de l’indemnité pour tort moral relève pour une part importante de l’appréciation des circonstances. Il ne s'agit toutefois pas d’une question d'appréciation au sens strict mais d'une question d'équité (TF 2C_294/2010 du 28 avril 2011 c. 3.2; ATF 138 III 337 c. 6.3.1).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(ATF 138 III 337 c. 6.3.3; ATF 130 III 699 c. 5.1). Le Tribunal fédéral considère que les deux critères proposés par Roland Brehm (Commentaire bernois, 3 ème éd., 2006, n. 86 ad art. 49 CO) pour la fixation de l’indemnité sont pertinents, à tout le moins lorsqu’une personne juridique est en droit d’obtenir réparation pour le tort moral engendré par des atteintes à la personnalité. Selon cet auteur, il faut premièrement distinguer entre les atteintes qui créent un état durable et celles qui s’effacent avec le temps, comme c’est le cas la plupart du temps pour les atteintes à la personnalité; les premières doivent être indemnisées par le versement de sommes plus importantes que celles accordées pour réparer les secondes. Secondement, lorsqu’il existe une atteinte à l’honneur ou au crédit, une différence doit se faire selon que l’atteinte procède d’un acte unique ou selon qu’elle a été propagée dans les médias; dans cette dernière hypothèse, l’atteinte aux droits de la personnalité pèse d’un poids plus important que dans la première, ce qui doit se répercuter sur la quotité de l’indemnité satisfactoire attribuée (ATF 138 III 337 c. 6.3.6). Dans le cas d’une société anonyme dénigrée sur un site Internet accessible au public pendant deux mois, le Tribunal fédéral a arrêté l’indemnité pour tort moral à 10'000 fr. (ATF 138 III 337). En l’espèce, il y a lieu de ne pas perdre de vue que les textes qui ont porté atteinte à la personnalité des demanderesses étaient ouverts à tous et non seulement aux abonnés du site Internet du défendeur. Diffusés par Internet, ils étaient accessibles à toute heure dans le monde entier. En outre, il faut prendre en compte le caractère répété et particulièrement crasse des atteintes commises par le défendeur. Tout bien pesé, il convient d’accorder à chaque demanderesse une indemnité pour tort moral se montant à 12'000 fr., savoir 36'000 fr. au total. d) En droit de la responsabilité civile, les frais engagés par la victime pour la consultation d'un avocat avant l'ouverture du procès civil peuvent constituer un élément du dommage, lorsque cette démarche était nécessaire et adéquate, et pour autant que ces frais n'aient pas été inclus dans les dépens (ATF 133 II 361 c. 4.1; TF 4C.51/2000 du 7 août 2000 c. 2, publié in : SJ 2001 I 153; Werro, La responsabilité civile, 2 ème éd., Berne 2011, n. 1057, p. 298). En l’espèce, l’étude d’avocats [...] a facturé aux demanderesses 22'650 fr. à titre de frais d’avocat pour la période du 1 er mai au 30 juin 2010. Pour celle du 10 mars 2011 au 7 mai 2012, l’actuel conseil des demanderesses leur a facturé des frais de 11'340 fr. le 18 août 2011, 4'748 fr. 20 le 10 octobre 2011, 2'551 fr. 50 le 20 janvier 2012 et 6'101 fr. 30 le 10 mai 2012. Il ressort des faits que toutes ces factures se rapportent à des prestations d’avocat  déployées dans le cadre du présent litige, dont l’utilité n’a pas été contestée. Par ordonnance de mesures provisionnelles du 29 août 2011, le défendeur a été condamné à verser aux demanderesses un montant de 6'000 fr. à titre de défraiement de leur conseil. Ce montant doit être équitablement imputé sur les factures des 18 août et 10 octobre 2011, couvrant vraisemblablement l’activité déployée par le conseil des demanderesses dans le cadre de la procédure de mesures provisionnelles. Par conséquent, il convient de retenir  que les montants de 22'650 fr., 8’340 fr. (= 11’340 fr. - 3'000 fr.), 1'748 fr. 20 (= 4'748 fr. 20 – 3'000 fr.), 2'551 fr. 50 et 6'101 fr. 30 constituent des éléments du dommage dont le défendeur doit répondre. Selon un document interne aux demanderesses, le directeur juridique de ces dernières a consacré à la présente affaire, à un taux horaire de 150 fr.,  nonante-six heures de travail, ce qui représente un coût total de 14'400 francs. Ce même document indique qu’un avocat interne des demanderesses a consacré, à un taux horaire de 100 fr., cent septante-six heures de travail,  représentant un coût total de 17'600 francs. Il n’a toutefois pas été allégué, a fortiori pas établi, que ces personnes auraient été engagées uniquement pour s’occuper du présent litige ou qu’elles auraient été contraintes d’effectuer des heures supplémentaires ayant dû être rémunérées en plus de leur travail habituel. Dans ces conditions, il faut considérer que les montants de 14'400 fr. et 17'600 fr. représentent simplement le salaire de certains employés des demanderesses, qui ne peut pas être retenu à titre de dommage indemnisable. e) La convention passée entre les parties lors de l’audience de mesures provisionnelles du 22 juin 2010 prévoit à son chiffre III ce qui suit : "En cas d’infraction à l’engagement souscrit au chiffre I ci-dessus E.________ sera en droit de requérir le retrait immédiat et par toute voie de droit utile des textes ou parties de texte incriminés et de réclamer à T.________, à titre de peine conventionnelle, la somme de CHF 10'000.- pour chaque infraction, tout dommage supplémentaire demeurant réservé. E.________ ne sera en droit de faire valoir la clause pénale susmentionnée que selon les modalités suivantes : - lors d’une première infraction, après vaine sommation de retirer le texte ou passage de texte dans un délai de cinq jours; - pour toute infraction ultérieure dès la commission de celle-ci." Par courrier du 11 juillet 2011, le conseil des demanderesses a fixé au défendeur un délai de cinq jours ouvrables dès réception du courrier, soit au 18 juillet 2011, « pour retirer tous les articles concernant E.________ mentionnés ci-dessus de votre site Internet ». Il a par ailleurs mentionné « vous êtes par ailleurs tenus de vous conformer strictement à la convention que vous avez signée et il vous est, plus généralement, interdit de porter atteinte intentionnellement et gratuitement à E.________, ses organes, actionnaires et employés. A défaut de retrait des articles susmentionnés dans le délai imparti, mes clientes agiront sans autre avis à votre encontre par toute voie de droit et vous réclameront, au surplus, la peine conventionnelle mentionnée au chiffre I de la convention susmentionnée ». Le défendeur a certes retiré certains passages de ses brèves. Il ne l’a toutefois fait qu’à la suite de l’ordonnance de mesures provisionnelles rendue le 28 juillet 2011, soit hors du délai que les demanderesses lui avaient imparti. Celles-ci ont donc droit, conformément à la convention signée avec le défendeur, à une somme de 10'000 fr. à titre de peine conventionnelle. Le défendeur doit aux demanderesses un second montant de 10'000 fr. à titre de peine conventionnelle, compte tenu de la publication qu’il a effectuée le 12 décembre 2011. Bien que ces sommes n’aient pas été expressément réclamées par les demanderesses, il y a néanmoins lieu de les leur allouer, conformément au principe d’application du droit d’office ( iura novit curia , art. 57 CPC). f) En définitive, le défendeur reste devoir aux demanderesses les sommes suivantes : - 1 fr. à titre d’indemnité pour dommages-intérêts, - 36'000 fr. à titre d’indemnité pour tort moral, - 41'391 fr. (= 22'650 fr. + 8’340 fr. + 1'748 fr. 20 + 2'551 fr. 50 + 6'101 fr. 30) à titre de remboursement des frais d’avocat, - 20'000 fr. à titre de peine conventionnelle. VIII. Les demanderesses réclament un intérêt à 5 % dès le 30 avril 2010. a) Le dommage comprend l'intérêt, dit compensatoire, du capital alloué à titre d'indemnité. L'intérêt est dû par celui qui est tenu de réparer le dommage causé à autrui, à partir du moment où ce préjudice est intervenu (art. 73 al. 1 er CO; Tercier/Pichonnaz, Le droit des obligations, 5 ème éd., Bâle 2012, n. 1117),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Le taux d'intérêt forfaitaire retenu par la jurisprudence par application analogique de l'art. 73 CO est de 5 % (ATF 131 III 12 c. 9.4 et 9.5, JT 2005 I 488, SJ 2005 I 113). En ce qui concerne le moment déterminant pour le calcul de l'indemnité pour tort moral, le Tribunal fédéral a laissé indécise la question controversée de savoir s'il faut retenir la date de l’évènement dommageable ou le jour du jugement (ATF 118 II 404 c. 3b/bb, JT 1993 I 736). La pratique de la Cour civile retient la date de l'évènement dommageable (cf. p. ex. CCiv 16/2010/PMR du 27 janvier 2012). b) Le défendeur doit donc être condamné à payer aux demanderesses un intérêt de 5 % l’an sur les montants en capital de 1 fr. et 36'000 fr. dès le 19 février 2011 (date moyenne entre la première et la dernière publication), sur celui de 22'650 fr. dès le 6 août 2010 (date de facturation de la note d’honoraires), sur celui de 8'340 fr. dès le 18 août 2011 ( ibidem ), sur celui de 1'748 fr. 20 dès le 10 octobre 2011 ( ibidem ), sur celui de 2'551 fr. 50 dès le 20 janvier 2012 ( ibidem ), sur celui de 6'101 fr. 30 dès le 10 mai 2012 ( ibidem ), sur la première somme de 10'000 fr. dès le 19 juillet 2011 (date de l’échéance du délai imparti par les demanderesses), et sur la seconde dès le 12 décembre 2011 (date de la publication). IX. Finalement, les demanderesses concluent à ce qu’il soit ordonné au défendeur de publier sur le site Internet litigieux le chiffre du dispositif du jugement correspondant au chiffre III de leurs conclusions (conclusion VII). Elles font valoir l’art. 9 al. 2 LCD, qui prévoit que le lésé peut en particulier demander qu’une rectification ou que le jugement soit communiqué à des tiers ou publié. Comme on l’a vu, la conclusion III prise par les demanderesses doit être rejetée. Par conséquent, il convient d’en faire de même de la conclusion VII. X. a) Selon l'art. 106 CPC, les frais sont mis à la charge de la partie succombante (al. 1); lorsqu’aucune des parties n’obtient entièrement gain de cause, les frais sont répartis selon le sort de la cause (al. 2). Les frais comprennent les frais judiciaires et les dépens, ces derniers englobant le défraiement d’un représentant professionnel et les débours nécessaires (art. 95 CPC). Les frais judiciaires sont arrêtés selon le tarif des frais judiciaires civils du 28 septembre 2010, RSV 270.11.5). Le défraiement du représentant professionnel est fixé selon le tarif des dépens en matière civile du 23 novembre 2010 [TDC, RSV 270.11.6]. Les débours ont trait au paiement d'une somme d'argent précise pour une opération déterminée. A teneur de l’art. 111 CPC, les frais judiciaires sont compensés avec les avances fournies par les parties. La personne à qui incombe la charge des frais verse le montant restant (al. 1). La partie à qui incombe la charge des frais restitue à l’autre partie les avances que celle-ci a fournies et lui verse les dépens qui lui ont été alloués (al. 2). b) En l’espèce, obtenant partiellement gain de cause, les demanderesses doivent supporter un quart des frais. Par conséquent, elles ont droit, solidairement entre elles, à la charge du défendeur, à un montant de 12'750 fr., qui se décompose comme suit : a) 9’000 fr. à titre de participation aux honoraires de leur conseil; b) 3’750 fr. en remboursement des trois quarts de leur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