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229/II vom 5. November 2010</w:t>
      </w:r>
    </w:p>
    <w:p>
      <w:r>
        <w:t>VD Tribunal cantonal, 2010-11-05, FR</w:t>
      </w:r>
    </w:p>
    <w:p>
      <w:r>
        <w:rPr>
          <w:b/>
        </w:rPr>
        <w:t xml:space="preserve">Quelle: </w:t>
      </w:r>
      <w:r>
        <w:t>https://mcp.opencaselaw.ch/entscheid/vd_findinfo_229_II</w:t>
      </w:r>
    </w:p>
    <w:p>
      <w:r>
        <w:t>FR: VD_FINDINFO 229/II du 5 novembre 2010</w:t>
      </w:r>
    </w:p>
    <w:p>
      <w:r>
        <w:t>IT: VD_FINDINFO 229/II del 5 novembre 2010</w:t>
      </w:r>
    </w:p>
    <w:p>
      <w:pPr>
        <w:pStyle w:val="Heading2"/>
      </w:pPr>
      <w:r>
        <w:t>Regeste</w:t>
      </w:r>
    </w:p>
    <w:p>
      <w:r>
        <w:t>INTERDICTION DE QUITTER UNE RÉGION | 74 LEtr, 30 LVLEtr, 31 LVLEtr</w:t>
      </w:r>
    </w:p>
    <w:p>
      <w:pPr>
        <w:pStyle w:val="Heading2"/>
      </w:pPr>
      <w:r>
        <w:t>Erwägungen</w:t>
      </w:r>
    </w:p>
    <w:p>
      <w:r>
        <w:rPr>
          <w:b/>
        </w:rPr>
        <w:t>E. 1</w:t>
      </w:r>
    </w:p>
    <w:p>
      <w:r>
        <w:t>Le recours au Tribunal cantonal est ouvert contre la décision du juge de paix interdisant à un étranger de pénétrer dans une région déterminée (art. 74 al. 3 LEtr [loi fédérale sur les étrangers du 16 décembre 2005; RS 142.20] et art. 30 LVLEtr [loi du 18 décembre 2007 d'application dans le canton de Vaud de la législation fédérale sur les étrangers; RSV 142.11]). Il est de la compétence de la seconde Chambre des recours (art. 71 et 73 LOJV [loi d'organisation judiciaire du 12 décembre 1979; RSV 173.01] et art. 20 al.</w:t>
      </w:r>
    </w:p>
    <w:p>
      <w:r>
        <w:rPr>
          <w:b/>
        </w:rPr>
        <w:t>E. 2</w:t>
      </w:r>
    </w:p>
    <w:p>
      <w:r>
        <w:t>La Chambre des recours revoit librement la décision de première instance. Elle établit les faits d'office et peut ordonner à cet effet toutes les mesures d'instruction qu'elle juge utiles (art. 31 al. 1 et 2 LVLEtr).</w:t>
      </w:r>
    </w:p>
    <w:p>
      <w:r>
        <w:rPr>
          <w:b/>
        </w:rPr>
        <w:t>E. 3</w:t>
      </w:r>
    </w:p>
    <w:p>
      <w:r>
        <w:t>a) Le Juge de paix du district de Lausanne, compétent selon l'art. 13 al. 1 LVLEtr, a procédé à l'audition du recourant lors de son audience du 2 septembre 2010 (art. 21 al. 1 LVLEtr). Le juge de paix a notifié l'ordonnance attaquée le même jour, par écrit, en mentionnant l'autorité, les formes et le délai de recours (art. 21 al. 4 LVLEtr). La procédure suivie par le premier juge est dès lors régulière. b) Le recourant soutient en substance qu'il est mineur et n'a donc pas la capacité d'être partie dans la présente procédure. Il voit en outre une violation de son droit d'être entendu dans le fait qu'il n'a pas été représenté. Le recourant a la capacité de discernement, laquelle est présumée (art. 16 CC; ATF 117 II 231). Englobée dans le chapitre 10 "Fin du séjour" de la LEtr, la section 5 consacrée aux mesures de contrainte, en particulier son art. 74 relatif à l'assignation à un lieu de résidence et à l'interdiction de pénétrer dans une région déterminée, n'établit aucun régime spécial au sujet des mineurs. Le critère de l'âge n'entre ainsi en considération, le cas échéant, qu'au moment d'examiner la proportionnalité d'une mesure de contrainte. Par ailleurs, la désignation d'un curateur ne s'impose pas non plus dans ce domaine; on ne voit pas du reste de quelle utilité elle serait. En outre, l'institution d'une mesure tutélaire serait incompatible avec les exigences de célérité posées par l'art. 74 LEtr. En réalité, le recourant ne remet pas tant en cause sa capacité d'être partie à la présente procédure que l'absence de garanties procédurales liées à sa minorité et dont il relève qu'elles existent en droit pénal et en droit civil. Or, le recourant a été entendu par le premier juge. A sa requête, il a été assisté par un avocat dans la procédure de recours. Compte tenu du pouvoir d'examen complet en fait et en droit de la cour de céans, son droit d'être entendu a été suffisamment garanti. Le grief est infondé.</w:t>
      </w:r>
    </w:p>
    <w:p>
      <w:r>
        <w:rPr>
          <w:b/>
        </w:rPr>
        <w:t>E. 4</w:t>
      </w:r>
    </w:p>
    <w:p>
      <w:r>
        <w:t>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Selon la jurisprudence rendue sous l'empire de l'art. 13e LSEE (loi fédérale du 26 mars 1931 sur le séjour et l'établissement des étrangers), abrogé le 1er janvier 2008 par l'entrée en vigueur de la LEtr (cf. l'annexe à l'art. 125 LEtr) et dont le contenu n'a pas subi de modification lors de l'adoption de la disposition précitée,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En l'espèce, le recourant ne dispose d'aucune autorisation de séjour et est domicilié à Crissier, au bénéfice de l'aide d'urgence. En outre, le recourant a été contrôlé par la police à onze reprises à proximité de toxicomanes ou dans des endroits fréquentés par ceux-ci et dénoncé à trois reprises pour des infractions à la LStup, ce qu'il ne conteste pas en précisant même avoir fait l'objet de deux condamnations pour détention de marijuana et de cocaïne (mémoire p. 5 § 2); les interpellations sont intervenues les 2 août 2009 à 05 h 00, 3 avril 2010 à 01 h 25 et 8 août 2010 à 01 h 10, soit à des heures auxquelles un jeune homme mineur n'est pas supposé se trouver dans les rues où se déroulent le trafic de stupéfiants. Lors de sa dernière interpellation, le 1er septembre 2010, il détenait à nouveau un sachet contenant de la marijuana. Ces indices concrets rendent vraisemblable le fait que le recourant exerce une activité régulière dans le domaine du trafic de stupéfiants. Le recourant se plaint de ne plus pouvoir voir ses amis à Lausanne. Toutefois, dans la balance des intérêts en présence, l'intérêt public à lutter contre le trafic de stupéfiants l'emporte sur celui du recourant à se rendre librement en ville de Lausanne; ce dernier peut toujours voir ses amis dans la commune où il réside ou dans une autre commune voisine. Au surplus, le recourant n'expose nulle part en quoi l'ordonnance attaquée serait contraire à l'art. 31 de la Convention relative aux droits de l'enfant conclue à New York le 20 novembre 1989 (mémoire p. 5 § 4). De même, lorsqu'il fait valoir qu'une carte indiquant les limites de la commune de Lausanne serait "difficile à trouver" (mémoire p. 6), il oublie que de tels documents – avec indication des frontières communales – sont à disposition gratuitement dans les offices du tourisme lausannois.</w:t>
      </w:r>
    </w:p>
    <w:p>
      <w:r>
        <w:rPr>
          <w:b/>
        </w:rPr>
        <w:t>E. 5</w:t>
      </w:r>
    </w:p>
    <w:p>
      <w:r>
        <w:t>La réquisition du SPOP réservait la possibilité d'autoriser certains déplacements sur le territoire lausannois. Le premier juge n'a pas repris ces aménagements à l'assignation au territoire. A tort. Ces déplacements peuvent être nécessaires dans le cadre de démarches administratives, par exemple en matière d'aide d'urgence. Il a lieu de réformer d'office l'ordonnance en ajoutant les précisions définies par le SPOP à cet égard.</w:t>
      </w:r>
    </w:p>
    <w:p>
      <w:r>
        <w:rPr>
          <w:b/>
        </w:rPr>
        <w:t>E. 6</w:t>
      </w:r>
    </w:p>
    <w:p>
      <w:r>
        <w:t>En conclusion, le recours doit être rejeté et le dispositif de la décision réformé d'office en ce sens que, avec effet immédiat et jusqu'à nouvel avis, il est interdit à O.________ de pénétrer sur le territoire de la commune de Lausanne, excepté sur le chemin entre Crissier, le SPOP (av. de Beaulieu 19) et l'EVAM (rue Sévelin 40) les jours de convocation. La décision est confirmée pour le surplus. L'arrêt peut être rendu sans frais. Par ces motifs, la Chambre des recours du Tribunal cantonal, statuant à huis clos, prononce : I. Le recours est rejeté. II. La décision est réformée d'office comme il suit au chiffre I de son dispositif : I. Avec effet immédiat et jusqu'à nouvel avis, il est interdit à O.________ de pénétrer sur le territoire de la commune de Lausanne, excepté sur le chemin entre Crissier, le SPOP (av. de Beaulieu 19) et l'EVAM (rue Sévelin 40) les jours de convocation. La décision est confirmée pour le surplus. III. L'arrêt est rendu sans frais. IV. L'arrêt motivé est exécutoire. Le président :               Le greffier : Du 5 novembre 2010 Le dispositif de l'arrêt qui précède est communiqué par écrit aux intéressés. Le greffier : Du L'arrêt qui précède, dont la rédaction a été approuvée à huis clos, est notifié en expédition complète, par l'envoi de photocopies, à : ‑ Me Jérôme Campart (pour O.________),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