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216/II vom 27. Oktober 2009</w:t>
      </w:r>
    </w:p>
    <w:p>
      <w:r>
        <w:t>VD Tribunal cantonal, 2009-10-27, FR</w:t>
      </w:r>
    </w:p>
    <w:p>
      <w:r>
        <w:rPr>
          <w:b/>
        </w:rPr>
        <w:t xml:space="preserve">Quelle: </w:t>
      </w:r>
      <w:r>
        <w:t>https://mcp.opencaselaw.ch/entscheid/vd_findinfo_216_II</w:t>
      </w:r>
    </w:p>
    <w:p>
      <w:r>
        <w:t>FR: VD_FINDINFO 216/II du 27 octobre 2009</w:t>
      </w:r>
    </w:p>
    <w:p>
      <w:r>
        <w:t>IT: VD_FINDINFO 216/II del 27 ottobre 2009</w:t>
      </w:r>
    </w:p>
    <w:p>
      <w:pPr>
        <w:pStyle w:val="Heading2"/>
      </w:pPr>
      <w:r>
        <w:t>Regeste</w:t>
      </w:r>
    </w:p>
    <w:p>
      <w:r>
        <w:t>DÉTENTION AUX FINS D'EXPULSION, MESURE DE CONTRAINTE{DROIT DES ÉTRANGERS} | 76 al. 1 let. b ch. 1 LEtr, 76 al. 1 let. b ch. 3 LEtr, 76 al. 1 let. b ch. 4 LEtr, 30 LVLEtr, 31 LVLEtr</w:t>
      </w:r>
    </w:p>
    <w:p>
      <w:pPr>
        <w:pStyle w:val="Heading2"/>
      </w:pPr>
      <w:r>
        <w:t>Erwägungen</w:t>
      </w:r>
    </w:p>
    <w:p>
      <w:r>
        <w:rPr>
          <w:b/>
        </w:rPr>
        <w:t>E. 1</w:t>
      </w:r>
    </w:p>
    <w:p>
      <w:r>
        <w:t>L'entrée en vigueur, le 1 er janvier 2008, de la LEtr (loi fédérale sur les étrangers du 16 décembre 2005,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Il 1 c. 4.2 p. 3). La LVLEtr (loi du 18 décembre 2007 d'application dans le Canton de Vaud de la LEtr, RSV 142.11) régit la présente procédure.</w:t>
      </w:r>
    </w:p>
    <w:p>
      <w:r>
        <w:rPr>
          <w:b/>
        </w:rPr>
        <w:t>E. 2</w:t>
      </w:r>
    </w:p>
    <w:p>
      <w:r>
        <w:t>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en deuxième instance peuvent être versées au dossier.</w:t>
      </w:r>
    </w:p>
    <w:p>
      <w:r>
        <w:rPr>
          <w:b/>
        </w:rPr>
        <w:t>E. 3</w:t>
      </w:r>
    </w:p>
    <w:p>
      <w:r>
        <w:t>La juge de paix, autorité compétente (art. 15 LVLEtr) a procédé à l'audition du recourant le 28 septembre 2009, soit dans les vingt-quatre heures, et a immédiatement rendu un ordre de détention, puis sa décision motivée dans les nonante-six heures (art. 16 LVLEtr). Il a résumé les propos du recourant (art. 21 al. 2 LVLEtr). Celui-ci, qui n'était pas assisté lors de son audition, n'a pas, par le biais de son conseil d'office désigné le 30 septembre 2009, invoqué un défaut d'assistance (art. 24 al. 2 LVLEtr). La procédure qui a été suivie en première instance apparaît par conséquent régulière.</w:t>
      </w:r>
    </w:p>
    <w:p>
      <w:r>
        <w:rPr>
          <w:b/>
        </w:rPr>
        <w:t>E. 4</w:t>
      </w:r>
    </w:p>
    <w:p>
      <w:r>
        <w:t>L'art. 75 al. 1 let. g LEtr prévoit une détention en phase préparatoire pour une durée maximale de six mois lorsque l'étranger « menace sérieusement d'autres personnes ou met gravement en danger leur vie ou leur intégrité corporelle et fait l'objet d'une poursuite pénale ou a été condamnée pour ce motif. En l'espèce, le recourant a fait l'objet d'une ordonnance de renvoi devant le Tribunal correctionnel le 27 avril 2009 pour injure, menaces et violence ou menace contre les autorités et les fonctionnaires, notamment pour avoir brandi un couteau en direction d'un collaborateur de l'Etablissement vaudois d'accueil des migrants (EVAM) et avoir tenté de saisir le cou d'une assistante sociale. C'est en vain qu'il invoque la présomption d'innocence puisqu'il suffit pour que la disposition susmentionnée trouve application que l'intéressé fasse l'objet d'une procédure pénale en raison de la mise en danger de l'intégrité corporelle et qu'au surplus, le recourant ne conteste pas les infractions précitées. Ce qui précède suffit à justifier la mesure attaquée, sans qu'il soit nécessaire d'examiner si le seul fait pour le recourant de n'avoir pas obtempéré à un ordre de départ suffit à tenir l'art. 76 al. 1 let. b LEtr pour applicable, selon lequel,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Le SPOP relève par ailleurs que le recourant a obtenu un laissez-passer pour la Bosnie-Herzégovine. Si l'état de santé de celui-ci n'a pas permis qu'il embarque sur un vol le 13 octobre écoulé, il est prévu, d'entente avec un médecin, de l'inscrire prochainement sur un vol de ligne avec une escorte. Le maintien en détention apparaît ainsi justifié en l'état sous l'angle de la proportionnalité, le renvoi apparaissant envisageable dans un délai prévisible (cf. art. 80 al. 6 LEtr; ATF 130 II 56 c. 4.1.3).</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27 octobre 2009 Le dispositif de l'arrêt qui précède est communiqué par écrit aux intéressés. La greffière : Du L'arrêt qui précède, dont la rédaction a été approuvée à huis clos, est notifié en expédition complète, par l'envoi de photocopies, à : ‑      M e Olivier Boschetti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