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214/II vom 25. Oktober 2010</w:t>
      </w:r>
    </w:p>
    <w:p>
      <w:r>
        <w:t>VD Tribunal cantonal, 2010-10-25, FR</w:t>
      </w:r>
    </w:p>
    <w:p>
      <w:r>
        <w:rPr>
          <w:b/>
        </w:rPr>
        <w:t xml:space="preserve">Quelle: </w:t>
      </w:r>
      <w:r>
        <w:t>https://mcp.opencaselaw.ch/entscheid/vd_findinfo_214_II</w:t>
      </w:r>
    </w:p>
    <w:p>
      <w:r>
        <w:t>FR: VD_FINDINFO 214/II du 25 octobre 2010</w:t>
      </w:r>
    </w:p>
    <w:p>
      <w:r>
        <w:t>IT: VD_FINDINFO 214/II del 25 ottobre 2010</w:t>
      </w:r>
    </w:p>
    <w:p>
      <w:pPr>
        <w:pStyle w:val="Heading2"/>
      </w:pPr>
      <w:r>
        <w:t>Regeste</w:t>
      </w:r>
    </w:p>
    <w:p>
      <w:r>
        <w:t>MESURE DE CONTRAINTE{DROIT DES ÉTRANGERS}, EXPULSION{DROIT DES ÉTRANGERS}, DÉTENTION AUX FINS D'EXPULSION, RISQUE DE FUITE, CRIME, MISE EN DANGER DE LA VIE D'AUTRUI{EN GÉNÉRAL}, MISE EN DANGER DE LA VIE{CP 127-136}, LOI FÉDÉRALE SUR LES STUPÉFIANTS ET LES SUBSTANCES PSYCHOTROPES | 10 CP, 75 al. 1 let. g LEtr, 75 al. 1 let. h LEtr, 76 al. 1 let. b ch. 1 LEtr, 76 al. 1 let. b ch. 3 LEtr, 76 al. 1 let. b ch. 4 LEtr</w:t>
      </w:r>
    </w:p>
    <w:p>
      <w:pPr>
        <w:pStyle w:val="Heading2"/>
      </w:pPr>
      <w:r>
        <w:t>Erwägungen</w:t>
      </w:r>
    </w:p>
    <w:p>
      <w:r>
        <w:rPr>
          <w:b/>
        </w:rPr>
        <w:t>E. 1</w:t>
      </w:r>
    </w:p>
    <w:p>
      <w:r>
        <w:t>Le recours au Tribunal cantonal est ouvert contre la décision du juge de paix ordonnant la détention administrative (art. 80 al. 1 LEtr [loi fédérale sur les étrangers du 16 décembre 2005, RS 142.20]; 30 LVLEtr [loi du 18 décembre 2007 d'application dans le Canton de Vaud de la LEtr, RSV 142.11]). Il est de la compétence de la Chambre des recours (art. 71 et 73 LOJV [loi vaudoise d'organisation judiciaire, RSV 173.01] et 20 al. 2 let. c ROTC [règlement organique du Tribunal cantonal du 13 novembre 2007; RSV 173.31.1]). Interjeté dans le délai de dix jours de l'art. 30 LVLEtr par le recourant, qui y a un intérêt, le recours est recevable.</w:t>
      </w:r>
    </w:p>
    <w:p>
      <w:r>
        <w:rPr>
          <w:b/>
        </w:rPr>
        <w:t>E. 2</w:t>
      </w:r>
    </w:p>
    <w:p>
      <w:r>
        <w:t>Le premier juge, compétent selon l'art. 17 LVLEtr, a procédé à l'audition du recourant et a tenu un procès-verbal sommaire le 23 septembre 2010, soit dans les vingt-quatre heures dès le moment où le recourant a été arrêté (art. 16 al. 1 LVLEtr). Il a immédiatement rendu un ordre de détention, puis sa décision motivée le lendemain, soit dans les nonante-six heures prescrites par l'art. 16 al. 1 in fine LVLEtr. Le recourant a été informé de son droit de demander la désignation d'un conseil d'office (art. 24 al. 2 LVLEtr). Un conseil d'office lui a été désigné à la suite de sa requête du 27 septembre 2010. La procédure suivie a ainsi été régulière, le droit d'être entendu du recourant ayant été respecté.</w:t>
      </w:r>
    </w:p>
    <w:p>
      <w:r>
        <w:rPr>
          <w:b/>
        </w:rPr>
        <w:t>E. 3</w:t>
      </w:r>
    </w:p>
    <w:p>
      <w:r>
        <w:t>La Chambre des recours revoit librement la décision de première instance. Elle établit les faits d'office et peut ordonner à cet effet toutes les mesures d'instruction qu'elle juge utiles (art. 31 al. 1 et 3 LVLEtr). Elle peut en particulier tenir compte des faits postérieurs à la décision attaquée. Les pièces produites par le SPOP en deuxième instance sont ainsi recevables.</w:t>
      </w:r>
    </w:p>
    <w:p>
      <w:r>
        <w:rPr>
          <w:b/>
        </w:rPr>
        <w:t>E. 4</w:t>
      </w:r>
    </w:p>
    <w:p>
      <w:r>
        <w:t>Le recourant fait valoir qu'il ne s'est jamais soustrait à une convocation du SPOP et soutient que son seul refus de quitter la Suisse ne saurait justifier sa mise en détention.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RS 142.3]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Il 56 c. 3.1; TF 2C_206/2009 du 29 avril 2009 c. 4.1).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(TF 2C_206/2009 précité). En l'espèce, le recourant a refusé de signer une déclaration de retour volontaire le 18 mai 2010. Il a confirmé à l'audience du juge de paix qu'il refusait de quitter la Suisse, compte tenu de la situation politique régnant dans son pays d'origine. Au vu de la volonté clairement manifestée à réitérées reprises par le recourant de ne pas vouloir retourner au Sénégal, il existe des indices suffisants d'un risque de fuite justifiant la détention. Cette conclusion est confortée par le fait que le recourant, célibataire et sans enfants, n'a aucune attache permettant d'exclure un risque de fuite. Les conditions posées par la jurisprudence pour admettre un tel risque étant alternatives et non cumulatives, il importe peu que le recourant n'ait pas disparu jusqu'ici. Le motif de détention de l'art. 76 al. 1 let. b ch. 3 et 4 est ainsi réalisé.</w:t>
      </w:r>
    </w:p>
    <w:p>
      <w:r>
        <w:rPr>
          <w:b/>
        </w:rPr>
        <w:t>E. 5</w:t>
      </w:r>
    </w:p>
    <w:p>
      <w:r>
        <w:t>Le recourant soutient que la condamnation pénale qui lui a été infligée ne suffit pas à justifier sa mise en détention administrative, faute pour le SPOP d'avoir démontré que dite condamnation compromet l'exécution du renvoi. Il se prévaut d'une violation de la CEDH (Convention du 4 novembre 1950 de sauvegarde des droits de l'homme et des libertés fondamentales; RS 0.101). a/aa) Selon l'art. 75 al. 1 let. g LEtr,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s'il menace sérieusement d’autres personnes ou met gravement en danger leur vie ou leur intégrité corporelle et fait l’objet d’une poursuite pénale ou a été condamnée pour ce motif. Il en va de même si l'intéressé a été condamné pour crime (art. 75 al. 1 let. h LEtr). Ce motif de mise en détention est également applicable lorsqu'une décision de renvoi ou d'expulsion de première instance a été notifiée, afin d'en assurer l'exécution (art. 76 al. 1 let. b ch. 1 LEtr). La jurisprudence a précisé que les conditions de l'art. 75 al. 1 let. g LEtr étaient réalisées, pour ce qui est des infractions à la loi sur les stupéfiants, même lorsqu'un petit trafiquant met sur le marché des quantités peu importantes d'héroïne ou de cocaïne – même la vente d'une seule boulette – pour autant qu'il puisse être déduit des circonstances qu'il ne s'agit pas d'un agissement unique et qu'il subsiste le risque d'autres infractions à la loi sur les stupéfiants (TF 2A.9/2006 du 12 janvier 2006 c. 2.1; ATF 125 II 369 c. 3b/bb). Cette disposition et cette jurisprudence ont été jugées conforme à l'art. 5 al. 1 let. f CEDH par le Tribunal fédéral (TF 2A.480/2003 du 26 août 2004 c. 3.3 et références). Quant au motif de l'art. 75 al. 1 let. h LEtr, la jurisprudence a précisé que la condamnation pour un crime et l'existence d'une procédure de renvoi pendante suffisent, sans qu'il soit nécessaire d'examiner en plus s'il existe des indices concrets de volonté de l'étranger de se soustraire au renvoi (TF 2C_455/2009 du 5 août 2009 c. 2.1 et référence à TF 2A.480/2003 précité). bb) Selon l'art. 10 CP (Code pénal du 21 décembre 1937; RS 311), dans sa teneur en vigueur dès le 1 er janvier 2007, est un crime l'infraction passible d'une peine privative de liberté de plus de trois ans. L'ancien droit qualifiait de crime les infractions passibles de la réclusion, soit d'une durée d'un an au moins et de vingt ans au plus, par opposition au délit, passible d'une peine d'emprisonnement de trois ans au plus (art. 9, 35 et 36 aCP). L'article 18 LStup sanctionne l'infraction grave à cette loi par une peine privative de liberté d'un an au moins, alors que l'infraction simple est passible d'une peine privative de liberté de trois ans au plus. b) En l'espèce, le recourant a été jugé pour infraction grave à la LStup, ce qui constitue un crime au sens de l'art. 10 CP, de sorte que le motif de l'art. 75 al. 1 let. h LEtr en relation avec l'art. 76 al. 1 let. b ch. 1 LEtr est réalisé. Au surplus, il ressort du jugement du Tribunal correctionnel de l'arrondissement de l'Est vaudois que le trafic auquel s'est adonné le recourant n'était pas un acte isolé et le recourant reconnaît dans son mémoire avoir été aussi condamné à cent cinquante jours de détention notamment pour infraction à la LStup. Les conditions de l'art. 75 al. 1 let. g LEtr en relation avec l'art. 76 al. 1 let. b ch. 1 LEtr sont également réalisées. Le recours doit être rejeté sur ce point.</w:t>
      </w:r>
    </w:p>
    <w:p>
      <w:r>
        <w:rPr>
          <w:b/>
        </w:rPr>
        <w:t>E. 6</w:t>
      </w:r>
    </w:p>
    <w:p>
      <w:r>
        <w:t>Pour le surplus, le SPOP a entrepris les démarches en vue du refoulement du recourant dès l'incarcération de celui-ci. L'exigence de diligence posée par l'art. 76 al. 4 LEtr a ainsi été respectée. L'exécution du renvoi, quant à elle, devrait pouvoir avoir lieu dans un délai raisonnable, le SPOP ayant réservé une place pour le recourant dans un vol du 26 octobre 2010 à destination de Dakar.</w:t>
      </w:r>
    </w:p>
    <w:p>
      <w:r>
        <w:rPr>
          <w:b/>
        </w:rPr>
        <w:t>E. 7</w:t>
      </w:r>
    </w:p>
    <w:p>
      <w:r>
        <w:t>En conclusion,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Le président :               Le greffier : Du 25 octobre 2010 Le dispositif de l'arrêt qui précède est communiqué par écrit aux intéressés. Le greffier : Du L'arrêt qui précède, dont la rédaction a été approuvée à huis clos, est notifié en expédition complète, par l'envoi de photocopies, à : ‑ Me Jean-Pierre Moser (pour B.________), ‑ Service de la population, Secteur Départ.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