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213/II vom 20. Oktober 2010</w:t>
      </w:r>
    </w:p>
    <w:p>
      <w:r>
        <w:t>VD Tribunal cantonal, 2010-10-20, FR</w:t>
      </w:r>
    </w:p>
    <w:p>
      <w:r>
        <w:rPr>
          <w:b/>
        </w:rPr>
        <w:t xml:space="preserve">Quelle: </w:t>
      </w:r>
      <w:r>
        <w:t>https://mcp.opencaselaw.ch/entscheid/vd_findinfo_213_II</w:t>
      </w:r>
    </w:p>
    <w:p>
      <w:r>
        <w:t>FR: VD_FINDINFO 213/II du 20 octobre 2010</w:t>
      </w:r>
    </w:p>
    <w:p>
      <w:r>
        <w:t>IT: VD_FINDINFO 213/II del 20 ottobre 2010</w:t>
      </w:r>
    </w:p>
    <w:p>
      <w:pPr>
        <w:pStyle w:val="Heading2"/>
      </w:pPr>
      <w:r>
        <w:t>Regeste</w:t>
      </w:r>
    </w:p>
    <w:p>
      <w:r>
        <w:t>OBLIGATION D'ENTRETIEN, ACTION EN MODIFICATION, MINIMUM VITAL | 278 al. 2 CC, 286 al. 2 CC, 287 CC, 451 ch. 3 CPC, 452 al. 2 CPC</w:t>
      </w:r>
    </w:p>
    <w:p>
      <w:pPr>
        <w:pStyle w:val="Heading2"/>
      </w:pPr>
      <w:r>
        <w:t>Erwägungen</w:t>
      </w:r>
    </w:p>
    <w:p>
      <w:r>
        <w:rPr>
          <w:b/>
        </w:rPr>
        <w:t>E. 1</w:t>
      </w:r>
    </w:p>
    <w:p>
      <w:r>
        <w:t>Les conventions relatives aux contributions d’entretien, qui n’obligent l’enfant qu’après avoir été approuvées par l’autorité tutélaire (art. 287 al. 1 CC [Code civil du 10 décembre 1907, RS 210]), peuvent être modifiées, à moins qu’une telle modification n’ait été exclue avec l’approbation de l’autorité tutélaire de surveillance (art. 287 al. 2 CC). Une telle modification ne peut intervenir que dans le cadre d’une action judiciaire conformément à l’art. 286 al. 2 CC, à moins que les parties ne soient d’accord sur la modification, auquel cas la nouvelle convention doit être soumise à la ratification de l’autorité tutélaire (Hegnauer, Berner Kommentar, 1997, n. 37 ad art. 287/288 CC, p. 407). L’action en modification d’entretien relève de la compétence du président du tribunal d’arrondissement (art. 286 al. 2 CC, 4 ch. 16 LVCC [Loi d'introduction dans le Canton de Vaud du Code civil suisse, RSV 211.01]), qui statue selon la procédure sommaire (art. 20 ch. 3 LVCC). Le recours, exclusivement en réforme, est ouvert (art. 451 ch. 3 CPC).</w:t>
      </w:r>
    </w:p>
    <w:p>
      <w:r>
        <w:rPr>
          <w:b/>
        </w:rPr>
        <w:t>E. 2</w:t>
      </w:r>
    </w:p>
    <w:p>
      <w:r>
        <w:t>Saisie d’un recours en réforme contre un jugement principal rendu par un président de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JT 1996 I 202; Poudret/Haldy/Tappy, Procédure civile vaudoise, 3 ème éd., Lausanne 2002, n. 3 ad art. 455 CPC, pp. 699-700), le juge doit d’office statuer sur ces questions, sans être limité par les moyens et conclusions des parties, et ordonner toutes preuves utiles à l’établissement d’un état de fait suffisant (ATF 128 III 411 c. 3.2.1; ATF 122 III 404 précité; ATF 120 II 229 précité; Werro, Concubinage, mariage et démariage, 2000, n. 736, p. 160, et n. 875, p. 189; Sutter/Freiburghaus, Kommentar zum neuen Scheidungsrecht, 1999, nn. 10 et 11 ad art. 145 CC, pp. 568-569; Poudret/Haldy/ 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l'état de fait du jugement est conforme aux pièces du dossier et aux autres preuves administrées. Il n'y a pas lieu de le compléter, la cour de céans étant à même de statuer en réforme.</w:t>
      </w:r>
    </w:p>
    <w:p>
      <w:r>
        <w:rPr>
          <w:b/>
        </w:rPr>
        <w:t>E. 3</w:t>
      </w:r>
    </w:p>
    <w:p>
      <w:r>
        <w:t>a)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ou de la convention au sens de l'art. 287 CC (ATF 128 III 305 c. 5b, JT 2003 I 50; TF 5C.214/2004 du 16 mars 2005 c. 2.1; Hegnauer, Berner Kommentar, 1997, n. 67 ad art. 286 CC, p. 385; Breitschmid, op. cit., n. 11 ad art. 286 CC, p. 1536). La procédure de modification ne doit pas viser à réexaminer ou corriger le jugement de divorce ou la convention, mais à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ou la convention, notamment quant aux revenus respectifs des parties au moment du divorce ou de la convention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ou depuis l'approbation de la convention par l'autorité de surveillance (TF 5A_324/2009 précité c. 2.1; ATF 131 III 189 c. 2.7.4). Une modification de la situation familiale peut répondre aux conditions posées par l'art. 286 al. 2 CC, par exemple la naissance de demi-frères ou de demi-soeurs, dont le débiteur doit aussi assumer l'entretien (Meier/Stettler, Droit de la filiation, 4 ème éd., 2009, note infrapaginale 2178, p. 584, et note 2060, p. 557, qui cite FamPra.ch 2000, p. 552, n o 44, et RSJ 2000, p. 327; Bühler/Spühler, Berner Kommentar, 1980, n. 106 ad art. a157 CC, p. 709). Avec la jurisprudence, ces auteurs se réfèrent à l'égalité de traitement qui doit être assurée en principe entre tous les enfants du débirentier. b) En l’espèce, la présence de circonstances nouvelles justifiant une modification n’est pas contestée dans son principe. Au vu de la doctrine et de la jurisprudence précitée, c’est dès lors à juste titre que le premier juge a tenu compte du fait que l’un des fils de l'épouse du recourant, F.________, né le [...] est venu vivre à leurs côtés et que le couple a eu ensemble un second enfant, B.________, née le [...].</w:t>
      </w:r>
    </w:p>
    <w:p>
      <w:r>
        <w:rPr>
          <w:b/>
        </w:rPr>
        <w:t>E. 4</w:t>
      </w:r>
    </w:p>
    <w:p>
      <w:r>
        <w:t>Le recourant fait valoir qu'au vu de sa situation financière très serrée, la contribution d'entretien en faveur de sa fille A.M.________ doit être fixée à 220 fr. par mois. Il allègue que le calcul effectué dans le jugement attaqué ne prend pas en compte les frais d'entretien des deux fils de son épouse, F.________ et X.________, et qu'il repose sur la présomption qu'il peut réaliser mensuellement un revenu net de 4'500 fr., ce qui ne correspond pas entièrement à la réalité étant donné qu'il n'a pas d'emploi fixe. a) Le premier juge a considéré que le recourant devait participer au 67,75% des charges du ménage du couple, compte tenu du revenu de son épouse, et exclu des charges déterminantes les frais d’entretien des enfants T.________ et B.________. Cela étant, il a considéré que le recourant devait participer aux charges globales incompressibles à concurrence de 3’406 fr. 18. Réalisant un revenu net mensuel de l’ordre de 4'500 fr., le recourant bénéficiait d’un excédent de 1’093 fr. 80, qu’il convenait de répartir à parts égales entre ses trois enfants A.M.________, T.________ et B.________ à parts égales, d’où une pension de 364 fr. 60, ramenée à 350 francs. b) D’une manière générale, plusieurs enfants d’un même débiteur d’entretien - qu’ils vivent dans le même ménage ou non - ont en principe le droit d’être traités de la même manière (TF 5D_48/2009 du 22 juin 2009 c. 5.1; ATF 127 III 68 c. 2c, JT 2001 I 562; ATF 126 III 353 c. 2b). Leurs besoins seront donc pris en compte selon des critères identiques, sauf si des circonstances objectives justifient une dérogation (TF 5D_48/2009 du 22 juin 2009 c. 5.2; ATF 126 III 353 c. 2b; ATF 120 II 289, JT 1996 I 219; ATF 116 II 115, JT 1993 I 167). L’allocation de montants distincts n’est dès lors pas d’emblée exclue, mais commande une justification particulière (TF 5A_62/2007 du 24 août 2007 c. 6.1, et les réf citées, publié in FamPra.ch 2008, p. 223, et résumé in Revue du droit de tutelle [RDT] 2007, p. 300). Pour déterminer la capacité contributive des parties dans le cadre du calcul d’une contribution d’entretien due à un enfant mineur, le juge doit tenir compte du minimum vital du débirentier au sens du droit des poursuites (ATF 127 III 68 c. 2c, JT 2001 I 562; ATF 126 III 353 c. 1a/aa; ATF 123 III 1 c. 3b/bb etc. 5), celui-ci devant encore disposer à tout le moins d’une réserve modique lui permettant de faire face à un imprévu (RDT 2003 p. 124 et JT 2003 1193, c. 4.1). Dans le droit des poursuites, pour déterminer le minimum vital d’un conjoint, il faut tout d’abord déterminer le revenu net des deux conjoints et leur minimum vital commun (montant de base pour le couple et les enfants, avec les suppléments, respectivement les déductions, qui doivent être prises en compte) et répartir le minimum vital déterminé entre les époux proportionnellement à leurs revenus nets. La part saisissable du revenu du conjoint poursuivi se dégage alors en déduisant de son revenu net déterminant sa part au minimum vital (TF 7B.160/2005 du 8 novembre 2005 c. 2; ATF 116 III 75 c. 2a; ATF 114 III 12 c. 3, JT 1990 II 118). Selon la jurisprudence, lorsqu’une personne mariée qui vit avec son conjoint et les enfants issus du mariage doit contribuer à l’entretien d’un enfant né hors mariage ou issu d’un précédent mariage et que sa situation financière est tendue, comme c’est le cas en l’espèce, il faut d’abord sortir de son minimum vital les montants concernant les enfants vivant dans la famille. Cela permet ainsi d’établir la capacité financière réelle du débiteur d’aliments et de partager ensuite le montant disponible entre tous les enfants, s’ils ont des besoins objectivement égaux (ATF 127 III 68 précité, JT 2001 I 562). c) Le mode de calcul utilisé par les premiers juges correspond dans son principe à la jurisprudence rappelée ci-dessus. Le recourant fait cependant valoir que le premier juge a pris en considération dans ses calculs l’entier du revenu de son épouse, alors que celle-ci doit contribuer à l’entretien de ses enfants F.________ et X.________. Il propose de déduire du revenu de son épouse les montants nécessaires à l’entretien de X.________, par 150 fr. et F.________, par 600 francs. Comme le premier juge l’a retenu, dans la mesure où le recourant ne peut assurer à ses trois enfants un montant minimum correspondant à celui arrêté en matière de poursuites, on ne saurait retenir qu’il lui incombe d’assister financièrement son épouse pour les frais d’entretien de ses fils X.________ et F.________. Le devoir d’assistance selon l’art. 278 al. 2 CC n’intervient en effet que lorsque le parent qui doit contribuer à l’entretien de son propre enfant ne peut y pourvoir ou n’y pourvoir qu’insuffisamment en raison des obligations découlant du mariage à l’égard de son conjoint (TF 5A_685/2008 du 18 décembre 2008 c. 3.2.4; ATF 120 II 285 c. 2b, JT 1996 I 213). Il faut dès lors uniquement vérifier si le revenu de l’épouse lui permet d’assumer sa part d’entretien à ses propres enfants sans entamer son propre minimum vital. Ce n’est que dans cette hypothèse que l’on pourrait songer à ne pas prendre en compte l’entier de ses revenus dans le calcul de la capacité contributive du couple. Le premier juge a retenu que la part des charges du ménage du recourant était de 67,75% (jgt, p. 9), ce qui signifie que celle de l’épouse est de 32,25%. Les charges totales du couple étant de 5’027 fr. 69 (jgt, p. 8), arrondi à 5'027 fr. 70, la part afférente à l’épouse est donc de 1’621 fr. 45. Réalisant un revenu mensuel de 2’142 fr. (jgt, p. 9), elle bénéficie d’un excédent de 520 fr. 55, qui lui permet de payer la contribution de 150 fr. qu’elle verse à X.________ et, en outre, de contribuer à l’entretien de F.________ (350 fr.) dans la même proportion que le recourant doit consacrer à ses propres enfants. Le moyen du recourant est dès lors infondé, de sorte que le recours doit en définitive être rejeté.</w:t>
      </w:r>
    </w:p>
    <w:p>
      <w:r>
        <w:rPr>
          <w:b/>
        </w:rPr>
        <w:t>E. 5</w:t>
      </w:r>
    </w:p>
    <w:p>
      <w:r>
        <w:t>En conclusion, le recours doit être rejeté, en application de l'art. 465 al. 1 CPC, et le jugement confirmé. Les frais de deuxième instance du recourant  sont arrêtés à 300 fr. (art. 233 al. 1 TFJC [tarif du 4 décembre 1984 des frais judiciaires en matière civile; RSV 270.11.5]). En outre, ce dernier doit verser à l'intimée la somme de 1'500 fr. à titre de dépens de deuxième instance (art. 91 et 92 CPC). Par ces motifs, la Chambre des recours du Tribunal cantonal, statuant à huis clos, en application de l'art. 465 al. 1 CPC, prononce : I. Le recours est rejeté. II. Le jugement est confirmé. III. Les frais de deuxième instance du recourant sont arrêtés à 300 fr. (trois cent francs). IV. Le recourant A.P.________ doit verser à l'intimée A.M.________ la somme de 1'500 fr. (mille cinq cent francs) à titre de dépens de deuxième instance. V. L'arrêt motivé est exécutoire. Le président :               La greffière : Du 20 octobre 2010 Le dispositif de l'arrêt qui précède est communiqué par écrit aux intéressés. La greffière : Du L'arrêt qui précède, dont la rédaction a été approuvée à huis clos, est notifié en expédition complète, par l'envoi de photocopies, à : ‑ Me Monique Gisel, avocate (pour A.P.________), ‑ Me Ninon Pulver, avocate (pour A.M.________), - Mme B.M.________. La Chambre des recours considère que la valeur litigieuse est de 31'200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