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210/II vom 14. Oktober 2010</w:t>
      </w:r>
    </w:p>
    <w:p>
      <w:r>
        <w:t>VD Tribunal cantonal, 2010-10-14, FR</w:t>
      </w:r>
    </w:p>
    <w:p>
      <w:r>
        <w:rPr>
          <w:b/>
        </w:rPr>
        <w:t xml:space="preserve">Quelle: </w:t>
      </w:r>
      <w:r>
        <w:t>https://mcp.opencaselaw.ch/entscheid/vd_findinfo_210_II</w:t>
      </w:r>
    </w:p>
    <w:p>
      <w:r>
        <w:t>FR: VD_FINDINFO 210/II du 14 octobre 2010</w:t>
      </w:r>
    </w:p>
    <w:p>
      <w:r>
        <w:t>IT: VD_FINDINFO 210/II del 14 ottobre 2010</w:t>
      </w:r>
    </w:p>
    <w:p>
      <w:pPr>
        <w:pStyle w:val="Heading2"/>
      </w:pPr>
      <w:r>
        <w:t>Regeste</w:t>
      </w:r>
    </w:p>
    <w:p>
      <w:r>
        <w:t>AUTORITÉ PARENTALE, POUVOIR D'EXAMEN LIBRE | 133 al. 1 CC, 133 al. 2 CC, 138 al. 1 CC, 145 al. 1 CC, 374c CPC</w:t>
      </w:r>
    </w:p>
    <w:p>
      <w:pPr>
        <w:pStyle w:val="Heading2"/>
      </w:pPr>
      <w:r>
        <w:t>Erwägungen</w:t>
      </w:r>
    </w:p>
    <w:p>
      <w:r>
        <w:rPr>
          <w:b/>
        </w:rPr>
        <w:t>E. 9</w:t>
      </w:r>
    </w:p>
    <w:p>
      <w:r>
        <w:t>septembre comme une nouvelle requête de mesures préprovisionnelles et provisionnelles tendant à l'attribution de la garde. Il a rejeté les mesures préprovisionnelles. Lors de l'audience de mesures provisionnelles, qui s'est tenue le 30 septembre 2010, J.________ a indiqué qu'il avait scolarisé son fils au collège de Béthusy, à Lausanne, quand bien même le jugement de divorce n'était pas exécutoire, estimant avoir agi dans le seul intérêt de son enfant. Selon lui, l'enfant se sentait bien à l'école, même si le niveau de la classe lui paraissait un peu trop bas. A.H.________ a encore indiqué que l'enfant voyait régulièrement sa mère le week-end et que, même s'il n'était pas contestable que la mère aimait son fils, il n'était pas facile de communiquer avec elle et de lui faire comprendre où se situait l'intérêt réel de celui-ci. Quant à J.________, elle s'est plainte du tempérament peu communicatif de A.H.________. Elle lui a reproché de ne pas l'écouter, de ne pas l'informer sur la situation de son fils, de ne pas tenir compte de son avis. Elle a précisé que B.H.________ se trouvait bien lorsqu'il était scolarisé à Genève, que le père l'avait empêché de pratiquer un sport d'équipe, en raison de matchs qui avaient lieu le week-end, et qu'elle ne comprenait pas pourquoi B.H.________ avait dû changer d'école. Par ordonnance du 30 septembre 2010, le Président de la Chambre des recours a admis la requête de mesures provisionnelles déposée par A.H.________, lui a attribué la garde de son enfant à titre provisionnel et a fixé le droit de visite de la mère. En droit : 1. Les art. 444, 445 et 451 ch. 2 CPC-VD (Code de procédure civile du 14 décembre 1966 ; RSV 270.11) ouvrent la voie des recours en nullité et en réforme contre les jugements principaux rendus par un tribunal d'arrondissement. La recourante n'articule cependant aucun grief de nullité, de sorte que son recours en nullité doit être déclaré irrecevable, la cour de céans n'examinant que les moyens de nullité dûment développés (Poudret/Haldy/Tappy, Procédure civile vaudoise, 3 ème éd., 2002, n. 4 ad art. 470 CPC-VD, p. 731). Il convient dès lors d'examiner le recours en réforme. 2. a) Saisie d'un recours en réforme contre un jugement principal rendu par un tribunal d'arrondissement, la Chambre des recours revoit librement la cause en fait et en droit (art. 452 al. 2 CPC-VD).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CPC-VD). En outre, dans les causes touchant au sort des enfants et aux conséquences pécuniaires de ceux-ci, domaine où le droit fédéral impose la maxime d'office et la maxime inquisitoire (art. 145 al. 1 CC ; ATF 128 III 411 c. 3), le juge doit d'office, même en deuxième instance, statuer sur ces questions, sans être limité par les moyens et conclusions des parties, et ordonner toutes preuves utiles à l'établissement d'un état de fait suffisant (ATF 122 II 404 ; Werro, Concubinage, mariage et démariage, Berne 2000, n. 736, p. 160 et n. 875, p. 189 ; Sutter/Freiburghaus, Kommentar zum neuen Scheidungsreicht, Zurich 1999, n. 10 et 11 ad art. 145 CC, pp. 568-569 ; Poudret/Haldy/Tappy, op. cit., n. 1 ad art. 3 CPC-VD, p. 13). En définitive, la Chambre des recours doit examiner d'office quelle est la solution qui paraît la plus conforme aux intérêts de l'enfant. Les pièces produites par la recourante sont ainsi recevables. b) La recourante sollicite le témoignage d'anciennes enseignantes de l'enfant, à savoir K.________ et P.________. Ces auditions n'apparaissent toutefois pas utiles, dans la mesure où elles ne pourront témoigner que de circonstances relativement anciennes, alors que le Service de protection des mineurs de l'Etat de Genève a pu recueillir des éléments plus récents, notamment auprès des enseignantes actuelles de l'enfant. Il en va de même de l'audition de la fille de la recourante F.________, dont le témoignage, compte tenu de ses liens familiaux avec la recourante, devrait être pris avec précaution. La recourante a déposé un témoignage écrit de U.________ qui est versé au dossier, de sorte qu'une audition de cette dernière n'apparaît pas utile. Enfin, la recourante n'explique pas en quoi l'audition de la logopédiste M.________ serait susceptible d'influer le sort de la cause. Il y a lieu de relever en outre que la recourante n'a pas requis l'audition de ces témoins en procédure de première instance. La Chambre des recours considère dès lors que le dossier est suffisamment complet pour lui permettre de statuer en toute connaissance de cause. Ainsi, les mesures d'instruction requises doivent être rejetées. 3. a) La recourante soutient que l'autorité parentale et la garde de son fils B.H.________ auraient dû lui être accordées. Elle fait valoir en substance qu'elle s'est toujours bien occupée de B.H.________, qu'elle s'est toujours rendue auprès des maîtresses de ce dernier pour être tenue au courant de son évolution et n'a jamais refusé de signer quoi que ce soit en lien avec sa scolarité, tout en admettant que n'étant pas de langue maternelle française, elle n'a pas toujours compris ce qu'on lui disait ou n'a pas toujours été comprise. Elle conteste les évaluations et constatations du Service de protection des mineurs de l'Etat de Genève et estime que les renseignements pris auprès de la dernière enseignante de l'enfant, Z.________, ne seraient pas fiables, dans la mesure où cette dernière aurait été prévenue par le père de l'enfant, lequel lui aurait livré sa propre version. Elle explique que l'idée d'être séparée de son enfant lui est parfaitement insupportable et soutient que, si la garde de B.H.________ était attribuée à son père, ce n'est pas celui-ci, mais la grand-mère de l'enfant qui s'en occuperait. b) Aux termes de l'art. 133 al. 1 CC,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Lorsqu'il attribue l'autorité parentale et règle les relations personnelles, le juge tient compte de toutes les circonstances importantes pour le bien de l'enfant : il prend en considération une éventuelle requête commune des parents et, autant que possible, l'avis de l'enfant (art. 133 al. 2 CC). Cette disposition consacre la jurisprudence du Tribunal fédéral selon laquelle c'est l'intérêt de l'enfant qui est déterminant pour l'attribution de l'autorité parentale et la garde et non celui des père et mère (ATF 130 III 585, JT 2005 I 206, c. 2.1). Au nombre des critères essentiels, peuvent entrer en ligne de compte les relations entre les parents et l'enfant, les capacités éducatives respectives des parents, leur personnalité et leurs conditions de vie, notamment la faculté de s'occuper personnellement de l'enfant et l'aptitude à favoriser les contacts avec l'autre parent et, si nécessaire, les rapports qu'entretiennent plusieurs enfants entre eux. L'enfant doit bénéficier de conditions de vie stables ainsi que d'un parent qui s'occupe de lui et l'élève personnellement. Ce qui importe dès lors est de savoir quel parent sera, selon toute vraisemblance, le mieux à même à prendre l'enfant en charge, lequel offrira le mieux à l'enfant, l'attention et l'affection nécessaire à son développement physique, psychique et intellectuel et lequel sera le mieux disposé à favoriser les contacts avec l'autre parent.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adoptées durant le mariage et de renoncer à déterminer l'intérêt de l'enfant en fonction de son avenir. Ce critère jouit toutefois d'un poids particulier lorsque les capacités d'éducation et de soin des parents sont similaire (TF, 5A_702/2007 du 28 avril 2008 c. 2.1 ; TF, 5A_171/2007 du 11 septembre 2007 c. 2.1 et les références citées ; TF, 5A_358/2007 du 29 octobre 2007 c. 3.1 résumé in Revue de droit de la tutelle (RDT) 2008 pp. 204-205 ; ATF 130 III 585, JT 2005 I 206 et les références cités.). Le juge appelé à se prononcer sur le fond, qui de par son expérience en la matière connaît le mieux les parties et le milieu dans lequel l'enfant doit vivre, dispose d'un large pouvoir d'appréciation (ATF 117 II 353 c. 3 ; TF 5C_274/2001 du 23 mai 2002). Il n'est en principe pas lié par les résultats d'une expertise, qu'il doit apprécier en tenant compte des autres preuves recueillies. S'il entend toutefois s'en écarter, il doit motiver sa décision et ne peut, sans motifs déterminants, substituer son appréciation à celle de l'expert (TF, 5C.67/2002 du 15 avril 2002, reproduit in La Pratique de la famille [FamPra.ch] 2002 n°89 p. 603 ; TF 5P.334/2005 du 2 novembre 2005 c. 3.1 et les références citées). c) Les premiers juges, sans méconnaître l'affection qu'apporte la recourante à son enfant, ont considéré que l'intérêt de ce dernier commandait une attribution de l'autorité parentale au père, mieux à même de répondre à son besoin actuel d'une certaine fermeté. Ils ont ainsi partagé le préavis du Service de protection des mineurs de l'Etat de Genève, dont il convient de souligner que le bilan a été effectué avec cinq ans de recul. Il en résulte que scolairement, B.H.________ présente des compétences, mais peine à se mettre à l'ouvrage et que la mère semble dépassée par les évènements. Lors des réunions en présence de B.H.________ et ses parents, ce dernier envoie "balader" sa mère alors qu'il obéit à son père. Son "insolence" se manifeste également vis-à-vis des autres enseignants qui doivent régulièrement pacifier les relations avec les autres élèves. Le Service précité observe en outre que B.H.________ est très régulièrement le spectateur des disputes de ses parents, de leur incapacité à s'accorder et de leurs reproches croisés quant à leurs compétences parentales, de sorte qu'il s'agit d'éprouver un autre système notamment une intensification de l'autorité exercée sur A.H.________. La recourante affirme certes que les propos de Z.________, sur lesquels le Service de protection des mineurs de l'Etat de Genève s'est fondé, ne seraient pas fiables, mais rien n'indique que cette dernière aurait été mise en garde auparavant. Au contraire, le carnet de travaux à domicile produit en procédure de recours démontrent les difficultés comportementales de l'enfant (B.H.________ parle trop, est infernal, doit se reprendre, doit prendre conscience qu'il est à l'école, attention au comportement, etc…). Il est félicité par un "bravo, B.H.________ est tous les jours de cette semaine à l'heure", qui démontre que ce n'est pas toujours le cas. d) Les considérations des premiers juges sont adéquates et il n'existe aucun motif de s'écarter du préavis du Service de protection des mineurs précité qui, émanant de spécialistes, revêt un poids particulier. L'intérêt de l'enfant commande un encadrement plus étroit, afin de favoriser son développement scolaire, qui paraît pouvoir être mieux assuré par le père. Cet élément a d'autant plus d'importance que l'enfant, âgé de treize ans, entre maintenant en adolescence. Par ailleurs, rien n'indique, contrairement aux allégations de la mère, que le père ne s'occuperait pas personnellement de l'enfant et le confierait à sa grand-mère. Le fait que le père travaille à plein temps ne constitue pas un obstacle, l'enfant n'ayant, vu son âge, pas besoin d'une présence constante des parents. Enfin, le fait que, durant la litispendance, la garde ait été confiée à la mère n'apparaît pas décisif. Ce critère n'est pertinent que si les capacités d'éducation sont semblables. Or, en l'espèce, le système de garde à la mère a démontré ses limites, puisque le Service de protection des mineurs de l'Etat de Genève en préconisait le changement. D'autre part, B.H.________ vit désormais avec son père et est scolarisé à Lausanne depuis septembre 2010. Même si l'intimé n'a pas attendu que le jugement soit exécutoire avant d'installer son fils chez lui, le président de la cour de céans lui en a, par ordonnance du 30 septembre 2010, provisoirement attribué la garde. Un nouveau changement ne serait dès lors pas conforme aux intérêts de l'enfant. 4. Le recours devant être rejeté sur ce point, les conclusions relatives à la contribution que le père devrait verser pour l'entretien de l'enfant sont désormais sans objet. Par ailleurs, la recourante ne conteste pas en tant que telle la contribution mise à sa charge, dans l'hypothèse où l'autorité parentale était attribuée au père. Cette contribution est adéquate et peut être confirmée. Il en va de même de l'exercice du droit de visite, qui est usuel. En conclusion, le recours doit être rejeté en application de l'art. 465 al. 1 CPC-VD et le jugement confirmé. 5. La recourante, faisant valoir sa situation financière précaire, conclut à ce qu'elle soit dispensée des frais de justice et des dépens. Selon l'art. 92 al. 1 CPC-VD, les dépens doivent être alloués à la partie qui obtient l'adjudication de ses conclusions, soit en l'espèce l'intimé. La situation financière de la partie qui succombe n'est pas un motif de réduction des dépens, pas plus qu'elle n'a d'incidence directe sur la répartition des frais (Poudret/Haldy/Tappy, op. cit., n. 74 ad art. 92 CPC-VD). Le moyen est ainsi infondé. Toutefois, compte tenu des circonstances particulières du cas d'espèce, tant le présent arrêt que l'ordonnance de mesures provisionnelles sont rendus sans frais. Par ces motifs, la Chambre des recours du Tribunal cantonal, statuant à huis clos, en application de l'art. 465 al. 1 CPC-VD, prononce : I. Le recours est rejeté. II. Le jugement est confirmé. III. L'arrêt est rendu sans frais. Le président :               La greffière : Du</w:t>
      </w:r>
    </w:p>
    <w:p>
      <w:r>
        <w:rPr>
          <w:b/>
        </w:rPr>
        <w:t>E. 14</w:t>
      </w:r>
    </w:p>
    <w:p>
      <w:r>
        <w:t>octobre 2010 Le dispositif de l'arrêt qui précède est communiqué par écrit aux intéressés. La greffière : Du L'arrêt qui précède, dont la rédaction a été approuvée à huis clos, est notifié en expédition complète, par l'envoi de photocopies, à : ‑ J.________, ‑ Me Kathrin Gruber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 Tribunal tutélaire de Genève.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