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203 vom 24. November 2022</w:t>
      </w:r>
    </w:p>
    <w:p>
      <w:r>
        <w:t>VD Tribunal cantonal, 2022-11-24, FR</w:t>
      </w:r>
    </w:p>
    <w:p>
      <w:r>
        <w:rPr>
          <w:b/>
        </w:rPr>
        <w:t xml:space="preserve">Quelle: </w:t>
      </w:r>
      <w:r>
        <w:t>https://mcp.opencaselaw.ch/entscheid/vd_findinfo_203___________</w:t>
      </w:r>
    </w:p>
    <w:p>
      <w:r>
        <w:t>FR: VD_FINDINFO 203 du 24 novembre 2022</w:t>
      </w:r>
    </w:p>
    <w:p>
      <w:r>
        <w:t>IT: VD_FINDINFO 203 del 24 novembre 2022</w:t>
      </w:r>
    </w:p>
    <w:p>
      <w:pPr>
        <w:pStyle w:val="Heading2"/>
      </w:pPr>
      <w:r>
        <w:t>Regeste</w:t>
      </w:r>
    </w:p>
    <w:p>
      <w:r>
        <w:t>PRIORITÉ{CIRCULATION}, EMPÊCHEMENT{EN GÉNÉRAL}, REJET DE LA DEMANDE, VIOLATION DES RÈGLES DE LA CIRCULATION | 36 al. 2 LCR, 90 al. 1 LCR, 14 al. 1 OCR</w:t>
      </w:r>
    </w:p>
    <w:p>
      <w:pPr>
        <w:pStyle w:val="Heading2"/>
      </w:pPr>
      <w:r>
        <w:t>Erwägungen</w:t>
      </w:r>
    </w:p>
    <w:p>
      <w:r>
        <w:rPr>
          <w:b/>
        </w:rPr>
        <w:t>E. 1</w:t>
      </w:r>
    </w:p>
    <w:p>
      <w:r>
        <w:t>CPP), contre le jugement d’un tribunal de première instance qui a clos la procédure (art. 398 al. 1 CPP), l'appel est recevable.</w:t>
      </w:r>
    </w:p>
    <w:p>
      <w:r>
        <w:rPr>
          <w:b/>
        </w:rPr>
        <w:t>E. 1.1</w:t>
      </w:r>
    </w:p>
    <w:p>
      <w:r>
        <w:t>Interjeté dans les formes et délais légaux (art. 385 al. 1 et 399 CPP [Code de procédure pénale suisse du 5 octobre 2007 ; RS 312.0]), par une partie ayant qualité pour recourir (art. 382 al.</w:t>
      </w:r>
    </w:p>
    <w:p>
      <w:r>
        <w:rPr>
          <w:b/>
        </w:rPr>
        <w:t>E. 1.2</w:t>
      </w:r>
    </w:p>
    <w:p>
      <w:r>
        <w:t>Le jugement ne portant que sur une contravention, l’appel est de la compétence d’un juge unique de la Cour d’appel pénale (art. 14 al. 3 LVCPP [loi d'introduction du Code de procédure pénale suisse du 19 mai 2009 ; BLV 312.01]) et la cause est soumise à la procédure écrite (art. 406 al. 1 let c CPP).</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6B_786/2020 du 11 janvier 2021 consid. 3.1 et les réf. citées, non publié aux ATF 147 IV 274 ; Kistler Vianin, in : Jeanneret/Kuhn/ Perrier Depeursinge [éd.], Commentaire romand, Code de procédure pénale suisse, 3 e éd., Bâle 2019, nn. 22-23 ad art. 398 CPP). La notion d’arbitraire n’est pas synonyme de discutable, ni même de critiquable. Une décision ne peut être considérée comme arbitraire que si elle s’avère manifestement insoutenable, et cela non seulement dans sa motivation mais aussi dans son résultat (ATF 134 I 140 consid. 5.4, JdT 2009 I 303 ; ATF 133 I 149 consid. 3.1 et les arrêts cités).</w:t>
      </w:r>
    </w:p>
    <w:p>
      <w:r>
        <w:rPr>
          <w:b/>
        </w:rPr>
        <w:t>E. 3</w:t>
      </w:r>
    </w:p>
    <w:p>
      <w:r>
        <w:t>L’appelant conteste sa condamnation pour violation simple des règles de la circulation routière au sens de l’art. 90 al. 1 LCR.</w:t>
      </w:r>
    </w:p>
    <w:p>
      <w:r>
        <w:rPr>
          <w:b/>
        </w:rPr>
        <w:t>E. 3.1.1</w:t>
      </w:r>
    </w:p>
    <w:p>
      <w:r>
        <w:t>Il fait valoir en premier lieu une violation de la maxime d’accusation, en ce sens que la seule disposition légale visée par l’ordonnance pénale, et reprise par le premier juge, était l’art. 90 al. 1 LCR, norme générale n’ayant aucune portée propre.</w:t>
      </w:r>
    </w:p>
    <w:p>
      <w:r>
        <w:rPr>
          <w:b/>
        </w:rPr>
        <w:t>E. 3.1.2.1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 ATF 141 IV 132 consid. 3.4.1). Il découle du principe de l'immutabilité de l'acte d'accusation que le tribunal est lié par l'état de fait décrit dans l'acte d'accusation (ATF 147 IV 505 précité, ibid.).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(ATF 147 IV 505 précité, ibid., et les références citées). Les art. 324 ss CPP règlent la mise en accusation, en particulier le contenu strict de l'acte d'accusation, étant précisé que l'ordonnance pénale tient lieu d'acte d'accusation lorsque, comme en l'espèce, le Ministère public décide de la maintenir après l'opposition du prévenu (cf. l'art. 356 al. 1 CPP). Selon l'art. 325 CPP, l'acte d'accusation désigne : (a) le lieu et la date de son établissement ; (b) le Ministère public qui en est l'auteur ; (c) le tribunal auquel il s'adresse ; (d) les noms du prévenu et de son défenseur ; (e) le nom du lésé ; (f) le plus brièvement possible, mais avec précision, les actes reprochés au prévenu, le lieu, la date et l'heure de leur commission ainsi que leurs conséquences et le mode de procéder de l'auteur ;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147 IV 505 précité, ibid., et les références citées). Des imprécisions relatives au lieu ou à la date sont sans portée, dans la mesure où le prévenu ne peut pas avoir de doute sur le comportement qui lui est reproché (ATF 147 IV 505 précité, ibid., et les références citées). Ainsi, les actes reprochés doivent être concrètement décrits afin que l'intéressé puisse se défendre (CAPE 8 février 2022/106).</w:t>
      </w:r>
    </w:p>
    <w:p>
      <w:r>
        <w:rPr>
          <w:b/>
        </w:rPr>
        <w:t>E. 3.1.2.2</w:t>
      </w:r>
    </w:p>
    <w:p>
      <w:r>
        <w:t>Conformément à l’art. 90 al. 1 LCR, celui qui viole les règles de la circulation prévues par la loi ou par les dispositions d'exécution émanant du Conseil fédéral est puni de l'amende.</w:t>
      </w:r>
    </w:p>
    <w:p>
      <w:r>
        <w:rPr>
          <w:b/>
        </w:rPr>
        <w:t>E. 3.1.3</w:t>
      </w:r>
    </w:p>
    <w:p>
      <w:r>
        <w:t>Il est vrai que l’art. 90 al. 1 LCR constitue une disposition de caractère général et abstrait, et certes, selon la jurisprudence, la seule mention d’une violation de règles de circulation selon cette disposition, sans autre précision, est insuffisante (ATF 126 I 19 consid. 2e ; TF 6P.136/2003 du 24 novembre 2003 ; VD, JdT 1981 III 155). Toutefois, à l’instar du premier juge, il convient de nier toute violation de la maxime d’accusation en l’espèce. On rappellera que le but de celle-ci est de garantir au prévenu un acte d’accusation contenant les infractions qui lui sont imputées de façon suffisamment précise pour lui permettre d’apprécier objectivement et subjectivement ce qui lui est reproché et comment son comportement se définit pénalement, autrement dit, de lui garantir de pouvoir se défendre efficacement (Moreillon/Parein-Reymond, Petit Commentaire du Code de procédure pénale, 2 e éd., Bâle 2016, n. 4 ad art. 9 CPP et les réf. citées). Si l'ordonnance pénale du 12 août 2022 ne mentionne effectivement que l’art. 90 al. 1 LCR, elle expose que le prévenu « alors qu’il arrivait à la hauteur de l’intersection avec l’avenue […], n’a pas accordé la priorité à […] », ce qui est amplement suffisant pour comprendre qu’il est question d’une violation du droit de priorité au sens des art. 36 al. 2 LCR et 14 al. 1 OCR (Ordonnance sur les règles de la circulation routière du 13 novembre 1962 ; RS 741.11), qui plus est lorsque l’appelant est assisté d’un avocat. S.________ était donc parfaitement conscient des faits qui lui étaient reprochés, ce d’autant que le rapport de police du 26 juillet 2021 faisait état de ces articles de loi en indiquant « Inattention et priorité de droite pas accordée lorsque deux routes déclassées par un Stop ou un Cédez le passage débouchent au même endroit sur une route prioritaire » (P. 4, p. 8). Du reste, l’appelant s’est efficacement défendu de ces faits en première instance, directement et par l’intermédiaire de son défenseur (cf. jugement du 24 novembre 2022, pp. 6 et 7). Il apparaît dès lors manifestement abusif – et en cela il ne s’agit pas d’un cas limite, contrairement à ce qu’a relevé le premier juge (ibid., p. 7) – d’invoquer, encore à ce stade, une violation de l’art. 9 CPP. Le grief tiré de la violation de la maxime d'accusation doit par conséquent être rejeté.</w:t>
      </w:r>
    </w:p>
    <w:p>
      <w:r>
        <w:rPr>
          <w:b/>
        </w:rPr>
        <w:t>E. 3.2.1</w:t>
      </w:r>
    </w:p>
    <w:p>
      <w:r>
        <w:t>L’appelant fait ensuite valoir qu’il n’aurait enfreint aucune norme. Il soutient que la vitesse excessive et l’inexpérience du conducteur du véhicule « Mini Cooper » seraient probablement à l’origine de l’accident.</w:t>
      </w:r>
    </w:p>
    <w:p>
      <w:r>
        <w:rPr>
          <w:b/>
        </w:rPr>
        <w:t>E. 3.2.2.1</w:t>
      </w:r>
    </w:p>
    <w:p>
      <w:r>
        <w:t>Aux termes de l’art. 36 al. 2 LCR, 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L’art. 14 al. 1 OCR précise que celui qui est tenu d'accorder la priorité ne doit pas gêner dans sa marche le conducteur bénéficiaire de la priorité. Il réduira sa vitesse à temps et, s'il doit attendre, s'arrêtera avant le début de l'intersection.</w:t>
      </w:r>
    </w:p>
    <w:p>
      <w:r>
        <w:rPr>
          <w:b/>
        </w:rPr>
        <w:t>E. 3.2.2.2</w:t>
      </w:r>
    </w:p>
    <w:p>
      <w:r>
        <w:t>L'art. 26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138 consid. 2.1 p. 140 ; ATF 125 IV 83 consid. 2b p. 87 et les références citées).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 ATF 125 IV 83 consid. 2b p. 87 s. ; ATF 120 IV 252 consid. 2d/aa p. 254).</w:t>
      </w:r>
    </w:p>
    <w:p>
      <w:r>
        <w:rPr>
          <w:b/>
        </w:rPr>
        <w:t>E. 3.2.3</w:t>
      </w:r>
    </w:p>
    <w:p>
      <w:r>
        <w:t>L’appelant ne conteste pas le refus de priorité. Dans ses premières déclarations à la police le jour des faits (P. 4, p. 6), il a expliqué ce qui suit : « Arrivé à la hauteur de l’intersection avec l’avenue [...], les feux de signalisation clignotaient à l’orange. Dès lors, j’ai ralenti à environ 30 km/h et j’ai observé à gauche et à droite. Sur ma droite, j’ai vu une voiture qui circulait de [...] en direction de [...] sur l’avenue [...]. Au vu de sa distance avec l’intersection, j’ai continué ma route normalement sur l’avenue [...] […] ». Il a donc bien vu le véhicule « Mini Cooper », prioritaire, arriver sur sa droite. Certes celui-ci roulait trop vite. Toutefois, l’appelant se fourvoie en soutenant que la cause de l’accident serait imputable à la vitesse excessive de ce véhicule. L’excès était moindre, le conducteur ayant évalué sa propre vitesse à 55 km/h (P. 4, p. 5) et ayant été condamné pour violation simple des règles de la circulation routière à une amende d’ordre de 40 fr. (P. 13). L’appelant se trompe également en se prévalant du principe de la confiance et du prétendu comportement imprévisible du conducteur du véhicule « Mini Cooper ». La jurisprudence qu’il cite à cet égard ne lui est d’aucun secours en l’espèce, puisque force est d’admettre qu’il n’a pas correctement évalué la situation et ne s’est lui-même pas comporté réglementairement en violant le droit de priorité. Le témoin [...] (P. 4, p. 6), qui circulait derrière le véhicule de l’appelant, ne permet pas de retenir autre chose. Il a vu ce dernier s’engager alors que le véhicule « Mini Cooper » arrivait rapidement sur la droite. Il appartenait ainsi à S.________, débiteur de priorité, de ne pas « gêner » – le terme confine ici à l’euphémisme au vu du résultat – le véhicule arrivant sur sa droite, même à une vitesse légèrement excessive. Sauf à considérer que le véhicule prioritaire aurait accéléré, ce qui n’est ni imaginable, ni même plaidé, l’appelant est responsable de l’accident qui s’est produit. Enfin, comme l’a retenu à juste titre le premier juge (cf. jugement du 24 novembre 2022, p. 7), on ne peut rien déduire des dommages considérables sur les véhicules dès lors que ceux-ci sont conçus pour absorber les chocs afin de préserver l’habitacle. S.________ s’est ainsi bien rendu coupable de contravention à l’art. 90 al. 1 LCR pour avoir enfreint les art. 36 al. 2 LCR et 14 al. 1 OCR.</w:t>
      </w:r>
    </w:p>
    <w:p>
      <w:r>
        <w:rPr>
          <w:b/>
        </w:rPr>
        <w:t>E. 3.3.1</w:t>
      </w:r>
    </w:p>
    <w:p>
      <w:r>
        <w:t>L’appelant requiert enfin l’application de l’art. 54 CP.</w:t>
      </w:r>
    </w:p>
    <w:p>
      <w:r>
        <w:rPr>
          <w:b/>
        </w:rPr>
        <w:t>E. 3.3.2</w:t>
      </w:r>
    </w:p>
    <w:p>
      <w:r>
        <w:t>A teneur de l’art. 54 CP, si l’auteur a été directement atteint par les conséquences de son acte au point qu’une peine serait inappropriée, l’autorité compétente renonce à le poursuivre, à le renvoyer devant le juge ou à lui infliger une peine. Sont visées les conséquences directes de l'acte, à savoir celles qui sont survenues lors de l'exécution de l'acte ou sont étroitement liées au résultat de l'acte. Est notamment atteint directement par les conséquences de son acte, celui qui subit des lésions physiques ou psychiques causées à l'occasion d'un accident qu'il a provoqué (ATF 119 IV 280 consid. 2b). Une exemption de peine se justifie lorsque l'auteur paraît déjà suffisamment puni et que la fonction compensatrice de la peine est déjà réalisée (ATF 137 IV 105 consid. 2.3).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Le juge doit prendre sa décision en analysant in concreto les circonstances du cas et il dispose d'un large pouvoir d'appréciation (ATF 121 IV 162 consid. 2d, JdT 1997 IV 12 ; ATF 117 IV 245 consid. 2a, JdT 1993 IV 96, JdT 1992 I 772, SJ 1992 541 ; TF 6B_515/2019 du 11 juin 2019 consid. 2.1 ; cf. TF 6B_442/2014 du 18 juillet 2014 consid. 2.1 ; TF 6B_107/2012 du 25 avril 2012 consid. 3.1).</w:t>
      </w:r>
    </w:p>
    <w:p>
      <w:r>
        <w:rPr>
          <w:b/>
        </w:rPr>
        <w:t>E. 3.3.3</w:t>
      </w:r>
    </w:p>
    <w:p>
      <w:r>
        <w:t>En l’espèce, l’appelant soutient avoir subi des répercussions psychiques liées au choc de l’accident, ainsi que matérielles, son véhicule ayant été entièrement détruit, ce qui devrait conduire, selon lui, à l’exempter de toute peine. Tout d’abord, il n’établit pas que l’accident l’aurait atteint dans sa santé psychique. Il ne produit aucune pièce, comme un certificat médical par exemple, qui permettrait d’étayer un tant soit peu ses dires. Si l’on peut imaginer que l’accident qui s’est produit ait pu impressionner l’appelant, cela ne constitue pas encore une atteinte telle qu’il serait inapproprié de le poursuivre au sens de l’art. 54 CP. Quant aux dommages considérables sur son véhicule, on relèvera que, d’une part, comme déjà mentionné plus haut (cf. consid. 3.2.3 supra), ils sont inhérents à la conception actuelle des automobiles, et, d’autre part, ils ne constituent pas une conséquence très lourde pour l’appelant par rapport à la faute commise. On rappellera qu’il s’en est sorti physiquement indemne, tout comme le conducteur du véhicule prioritaire. Là encore, une renonciation aux poursuites pénales ne se justifie pas.</w:t>
      </w:r>
    </w:p>
    <w:p>
      <w:r>
        <w:rPr>
          <w:b/>
        </w:rPr>
        <w:t>E. 4</w:t>
      </w:r>
    </w:p>
    <w:p>
      <w:r>
        <w:t>En définitive, l’appel doit être rejeté et le jugement entrepris confirmé. Les frais de la procédure d’appel, constitués en l’espèce du seul émolument de jugement, par 810 fr. (art. 21 al. 1 TFIP [Tarif des frais de procédure et indemnités en matière pénale du 28 septembre 2010 ; BLV 312.03.1]), seront mis à la charge de l’appelant, qui succombe (art. 428 al. 1 CPP). Vu le sort de l’appel, il n’y a pas lieu à l’allocation d’une indemnité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