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200/II vom 16. Oktober 2009</w:t>
      </w:r>
    </w:p>
    <w:p>
      <w:r>
        <w:t>VD Tribunal cantonal, 2009-10-16, FR</w:t>
      </w:r>
    </w:p>
    <w:p>
      <w:r>
        <w:rPr>
          <w:b/>
        </w:rPr>
        <w:t xml:space="preserve">Quelle: </w:t>
      </w:r>
      <w:r>
        <w:t>https://mcp.opencaselaw.ch/entscheid/vd_findinfo_200_II</w:t>
      </w:r>
    </w:p>
    <w:p>
      <w:r>
        <w:t>FR: VD_FINDINFO 200/II du 16 octobre 2009</w:t>
      </w:r>
    </w:p>
    <w:p>
      <w:r>
        <w:t>IT: VD_FINDINFO 200/II del 16 ottobre 2009</w:t>
      </w:r>
    </w:p>
    <w:p>
      <w:pPr>
        <w:pStyle w:val="Heading2"/>
      </w:pPr>
      <w:r>
        <w:t>Regeste</w:t>
      </w:r>
    </w:p>
    <w:p>
      <w:r>
        <w:t>RISQUE DE FUITE, DÉTENTION AUX FINS D'EXPULSION, DEVOIR DE COLLABORER, PROPORTIONNALITÉ, CHOIX{EN GÉNÉRAL}, ÉTAT TIERS, RETOUR | 69 al. 2 LEtr, 76 al. 1 let. b ch. 3 LEtr, 76 al. 1 let. b ch. 4 LEtr, 76 al. 4 LEtr, 80 al. 1 LEtr, 80 al. 6 LEtr, 30 LVLEtr, 31 LVLEtr</w:t>
      </w:r>
    </w:p>
    <w:p>
      <w:pPr>
        <w:pStyle w:val="Heading2"/>
      </w:pPr>
      <w:r>
        <w:t>Erwägungen</w:t>
      </w:r>
    </w:p>
    <w:p>
      <w:r>
        <w:rPr>
          <w:b/>
        </w:rPr>
        <w:t>E. 1</w:t>
      </w:r>
    </w:p>
    <w:p>
      <w:r>
        <w:t>er janvier 2008 (art. 44 al. 1 LVLEtr),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art. 20 al. 2 let. c ROTC [règlement organique du Tribunal cantonal du 13 novembre 2007; RSV 173.31.1]). Déposé en temps utile par le recourant, qui y a intérêt, le recours est recevable (art. 30 al. 2 LVLEtr).</w:t>
      </w:r>
    </w:p>
    <w:p>
      <w:r>
        <w:rPr>
          <w:b/>
        </w:rPr>
        <w:t>E. 3</w:t>
      </w:r>
    </w:p>
    <w:p>
      <w:r>
        <w:t>La Chambre des recours revoit librement la décision de première instance, elle établit les faits d'office et peut ordonner à cet effet toutes les mesures d'instruction qu'elle juge utiles (art. 31 al. 1 et 2 LVLEtr). Elle peut en particulier tenir compte de faits postérieurs à la décision attaquée. Dans le délai de recours, le recourant et le SPOP ont produit de nouvelles pièces, qui peuvent être versées au dossier.</w:t>
      </w:r>
    </w:p>
    <w:p>
      <w:r>
        <w:rPr>
          <w:b/>
        </w:rPr>
        <w:t>E. 4</w:t>
      </w:r>
    </w:p>
    <w:p>
      <w:r>
        <w:t>Le Juge de paix du district de Lausanne, autorité compétente (art. 17 LVLEtr), a procédé à l'audition du recourant le 24 septembre 2009, soit dans les vingt-quatre heures dès le moment où il a été arrêté (art. 16 al. 1 LVLEtr). Un procès-verbal sommaire de cette audition a été dressé et les propos du recourant, qui était accompagné d'un interprète, ont été résumés (art. 21 al. 2 et 3 LVLEtr). Le juge de paix a immédiatement rendu un ordre de détention, et sa décision motivée a été expédiée pour notification le lendemain, soit dans les nonante-six heures prescrites par l'art. 16 al. 1 LVLEtr, et effectivement reçue le 28 septembre suivant. Enfin, à la requête du recourant, un conseil d'office lui a été désigné (art. 24 al. 2 LVLEtr). Par conséquent, la procédure suivie en première instance apparaît régulière.</w:t>
      </w:r>
    </w:p>
    <w:p>
      <w:r>
        <w:rPr>
          <w:b/>
        </w:rPr>
        <w:t>E. 5</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2C_128/2009 du 30 mars 2009 c. 3.1; ATF 130 II 56 c.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2C_128/2009 précité c. 3.1 in fine et la référence citée ). L'art. 76 al. 1 let. b LEtr correspond pour l'essentiel à l'art. 13b aLSEE, qu'il précise (Message du Conseil fédéral du 8 mars 2002 concernant la loi sur les étrangers, FF 2002 pp. 3469 ss, spéc. 3571). Sous l'égide de cette ancienne disposition,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II 56 c. 3.1 précité). b) En l'espèce, le recourant est dépourvu d'une autorisation de séjour et n'a pas respecté le délai de départ fixé dans la décision lui refusant l'asile. Il a été avisé lors d'une audition qui s'est déroulée dans sa langue le 9 avril 2009 qu'il devait partir et a été rendu attentif qu'il s'exposait à des mesures de contrainte dans le cas contraire. Il a déclaré qu'il voulait être soigné avant de partir et que, s'il devait quitter la Suisse, il entendait se rendre en Hongrie. Le 11 mai suivant, alors que les documents nécessaires étaient prêts, il a refusé de signer l'engagement de départ qui lui était présenté par le SPOP. Il est dès lors resté en Suisse puisqu'il y a été arrêté le 24 septembre 2009. Si le recourant s'est certes engagé lors de son audition du 24 septembre 2009 à quitter la Suisse si un nouveau délai pour le faire lui était fixé, c'est avec l'intention d'aller en Hongrie, pays dans lequel, en l'état, il n'a pas de titre de séjour (cf. c. 6 ci-après). Il a par ailleurs déclaré qu'il ne savait pas qu'il devait quitter la Suisse, ce qui n'est pas vraisemblable, et qu'il voulait y rester. Enfin, le recourant a refusé d'embarquer sur un vol à destination du Kosovo le 1 er octobre 2009. Il ressort dès lors du comportement du recourant des indices sérieux et concrets suffisants pour permettre d'admettre que l'intéressé a l'intention de se soustraire à son renvoi, au sens des principes résumés plus haut. Sa mise en détention respecte donc l'art. 76 al. 1 let. b ch. 3 et 4 LEtr et n'apparaît pas critiquable sous cet angle. c) En outre, l'exécution du renvoi ne s'avère pas d'emblée impossible pour des raisons juridiques ou matérielles (cf. art. 80 al. 6 let. a LEtr a contrario) et apparaît envisageable dans un délai raisonnable , le SPOP ayant obtenu le 28 avril 2009 un laissez-passer pour le recourant et ayant entrepris des démarches le 5 octobre 2009 pour inscrire l'intéressé sur un nouveau vol organisé à destination de sa patrie suite au refus de celui-ci d'embarquer sur le vol du 1 er octobre précédent (art. 76 al. 4 LEtr). Le maintien en détention se révèle ainsi également justifié du point de vue de la proportionnalité.</w:t>
      </w:r>
    </w:p>
    <w:p>
      <w:r>
        <w:rPr>
          <w:b/>
        </w:rPr>
        <w:t>E. 6</w:t>
      </w:r>
    </w:p>
    <w:p>
      <w:r>
        <w:t>Quant au souhait renouvelé du recourant de se rendre dans un autre pays que sa patrie d'origine, il ne saurait être pris en compte à ce stade par l'autorité requise de statuer sur la détention. En effet, l'étranger qui est renvoyé ne peut choisir le pays où il veut aller que s'il a la possibilité de s'y rendre légalement (art. 69 al. 2 LEtr) et le recourant ne prouve pas qu'il est autorisé à entrer (et à séjourner) en Hongrie.</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16 octobre 2009 Le dispositif de l'arrêt qui précède est communiqué par écrit aux intéressés. L e greffi er : Du L'arrêt qui précède, dont la rédaction a été approuvée à huis clos, est notifié en expédition complète, par l'envoi de photocopies, à : ‑      Me Albert von Braun (pour X.________), ‑      Service de la population, Secteurs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