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195/II vom 7. Oktober 2009</w:t>
      </w:r>
    </w:p>
    <w:p>
      <w:r>
        <w:t>VD Tribunal cantonal, 2009-10-07, FR</w:t>
      </w:r>
    </w:p>
    <w:p>
      <w:r>
        <w:rPr>
          <w:b/>
        </w:rPr>
        <w:t xml:space="preserve">Quelle: </w:t>
      </w:r>
      <w:r>
        <w:t>https://mcp.opencaselaw.ch/entscheid/vd_findinfo_195_II</w:t>
      </w:r>
    </w:p>
    <w:p>
      <w:r>
        <w:t>FR: VD_FINDINFO 195/II du 7 octobre 2009</w:t>
      </w:r>
    </w:p>
    <w:p>
      <w:r>
        <w:t>IT: VD_FINDINFO 195/II del 7 ottobre 2009</w:t>
      </w:r>
    </w:p>
    <w:p>
      <w:pPr>
        <w:pStyle w:val="Heading2"/>
      </w:pPr>
      <w:r>
        <w:t>Regeste</w:t>
      </w:r>
    </w:p>
    <w:p>
      <w:r>
        <w:t>OBLIGATION D'ENTRETIEN, SUBROGATION LÉGALE, PLACEMENT D'ENFANTS DANS UNE INSTITUTION | 276 CC, 289 al. 2 CC, 451 ch. 3 CPC, 50 LProMin</w:t>
      </w:r>
    </w:p>
    <w:p>
      <w:pPr>
        <w:pStyle w:val="Heading2"/>
      </w:pPr>
      <w:r>
        <w:t>Erwägungen</w:t>
      </w:r>
    </w:p>
    <w:p>
      <w:r>
        <w:rPr>
          <w:b/>
        </w:rPr>
        <w:t>E. 1</w:t>
      </w:r>
    </w:p>
    <w:p>
      <w:r>
        <w:t>La recourante conclut exclusivement à la réforme du jugement attaqué. a) Le recours en réforme (art. 451 ch. 3 CPC [Code de procédure civile du 14 décembre 1966; RSV 270.11]) est ouvert contre un jugement rendu par un président de Tribunal d'arrondissement statuant comme juge unique en procédure sommaire (art. 20 ch. 3 LVCC [Loi du 30 novembre 1910 d'introduction dans le Canton de Vaud du Code civil suisse; RSV 3.1]), en vertu de la compétence que lui confèrent les art. 4 ch. 15 LVCC et 51 LProMin (Loi du 4 mai 2004 sur la protection des mineurs; RSV 850. 41). Interjeté en temps utile et concluant exclusivement à la réforme du jugement, le recours est formellement recevable. b) Saisie d'un recours en réforme contre le jugement d'un président de tribunal d'arrondissement, la Chambre des recours revoit librement la cause en fait et en droit (art. 452 al.</w:t>
      </w:r>
    </w:p>
    <w:p>
      <w:r>
        <w:rPr>
          <w:b/>
        </w:rPr>
        <w:t>E. 2</w:t>
      </w:r>
    </w:p>
    <w:p>
      <w:r>
        <w:t>de cette disposition crée un cas de subrogation légale au sens de l'art. 166 CO (Code des obligations du 30 mars 1911; RS 220; ATF 123 III 161 c. 4c; TF, 5P.193/2003 du 23 juillet 2003, in FamPra.ch 2003, p. 971). Elle conduit à la substitution d'un créancier (l'enfant) par un nouveau (le SPJ) (Probst, Commentaire romand, n. 6 ad art. 166 CO). Lorsque la collectivité publique fournit une aide qui se situe en deçà de la prétention à l'entretien de l'enfant, elle n'est subrogée dans les droits de celui-ci que jusqu'à concurrence des prestations versées (ATF 123 III 161 c. 4c). Inversement, elle ne saurait exiger une contribution allant au-delà des prestations pécuniaires que le parents auraient dû fournir à l'enfant selon les art. 276 et 285-286 CC (Hegnauer, Berner Kommentar, n. 82 ad art. 289 CC). La contribution ainsi fixée ne saurait porter atteinte au minimum vital du débiteur (ATF 106 III 18, JT 1981 II 141). b) En l'espèce, le SPJ a pris à sa charge les frais de placement (pension et budget personnel) de D.________ depuis le 1 er octobre 2007, à hauteur, en moyenne, de 1'467 fr. 20 par mois. Comme relevé ci-dessus, les frais occasionnés par ces placements étaient à la charge de la recourante et devaient être remboursés dans la mesure où ils avaient été avancés par l'intimé, dans les limites toutefois du respect de son minimum vital. En application de la jurisprudence selon laquelle la contribution d'entretien doit être fixée à 15 % du revenu net du parent non détenteur de la garde, le premier juge a considéré que la pension mensuelle due par la recourante serait, compte tenu d'un revenu net mensuel de 5'373 fr. 35, de 806 francs. Il a alors relevé que la contribution mensuelle de 790 fr. réclamée par l'intimé, sensiblement inférieure à la moitié des besoins de l'enfant, se trouvait dans un rapport raisonnable avec la capacité contributive de la recourante, dont le minimum vital élargi était ainsi préservé. Ces considérations sont adéquates et peuvent être confirmées par adoption de motifs (art. 471 al. 3 CPC). Enfin, c'est en conformité avec l'art. 279 CC, qui précise que l'enfant peut agir contre son père et sa mère, ou contre les deux ensemble, afin de leur réclamer l'entretien pour l'avenir et pour l'année qui précède l'ouverture d'action, que le premier juge a ordonné le versement de la contribution d'entretien rétroactivement à compter du 1 er octobre 2007. La recourante fait certes valoir qu'elle s'occupe de sa fille tous les week-ends, le mardi soir, ainsi que six semaines par année durant les vacances scolaires. Son droit de visite ne se distingue toutefois pas du droit de visite usuellement accordé au point de justifier que l'on s'écarte de la règle du pourcentage précitée, qui tient d'ores et déjà compte d'un tel droit de visite. Enfin, les griefs par lesquels la recourante remet en cause le bien-fondé du retrait de son droit de garde sur sa fille et du placement de cette dernière sont irrecevables, les décisions rendues sur ces points, définitives et exécutoires, ne pouvant être remises en cause à l'occasion de la fixation de la contribution d'entretien. On relèvera au surplus que, contrairement à ce que la recourante semble penser, le consentement des parents au placement de leur enfant n'est pas une condition à la subrogation légale prévue à l'art. 289 al. 2 CC.</w:t>
      </w:r>
    </w:p>
    <w:p>
      <w:r>
        <w:rPr>
          <w:b/>
        </w:rPr>
        <w:t>E. 3</w:t>
      </w:r>
    </w:p>
    <w:p>
      <w:r>
        <w:t>Le recours doit en conséquence être rejeté, en application de l'art. 465 al. 1 CPC, et le jugement confirmé. Les frais de deuxième instance de la recourante sont arrêtés à 300 francs (art. 233 du Tarif du</w:t>
      </w:r>
    </w:p>
    <w:p>
      <w:r>
        <w:rPr>
          <w:b/>
        </w:rPr>
        <w:t>E. 4</w:t>
      </w:r>
    </w:p>
    <w:p>
      <w:r>
        <w:t>décembre 1984 des frais judiciaires en matière civile; RSV 270.11.5). Par ces motifs, la Chambre des recours du Tribunal cantonal, statuant à huis clos, en application de l'art. 465 al. 1 CPC, prononce : I .    Le recours est rejeté. II. Le jugement est confirmé. III. Les frais de deuxième instance de la recourante Jessica Carmignani-Tanoh sont arrêtés à 300 fr. (trois cents francs). IV. L'arrêt motivé est exécutoire. L e président : L a greffi ère : Du 7 octobre 2009 Le dispositif de l'arrêt qui précède est communiqué par écrit aux intéressés. L a greffi ère : Du L'arrêt qui précède, dont la rédaction a été approuvée à huis clos, est notifié en expédition complète, par l'envoi de photocopies, à : ‑      Mme M.________; ‑      Service de protection de la jeunesse, Unité d'appui juridique. La Chambre des recours considère que la valeur litigieuse est de 189'600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