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180/II vom 23. September 2009</w:t>
      </w:r>
    </w:p>
    <w:p>
      <w:r>
        <w:t>VD Tribunal cantonal, 2009-09-23, FR</w:t>
      </w:r>
    </w:p>
    <w:p>
      <w:r>
        <w:rPr>
          <w:b/>
        </w:rPr>
        <w:t xml:space="preserve">Quelle: </w:t>
      </w:r>
      <w:r>
        <w:t>https://mcp.opencaselaw.ch/entscheid/vd_findinfo_180_II</w:t>
      </w:r>
    </w:p>
    <w:p>
      <w:r>
        <w:t>FR: VD_FINDINFO 180/II du 23 septembre 2009</w:t>
      </w:r>
    </w:p>
    <w:p>
      <w:r>
        <w:t>IT: VD_FINDINFO 180/II del 23 settembre 2009</w:t>
      </w:r>
    </w:p>
    <w:p>
      <w:pPr>
        <w:pStyle w:val="Heading2"/>
      </w:pPr>
      <w:r>
        <w:t>Regeste</w:t>
      </w:r>
    </w:p>
    <w:p>
      <w:r>
        <w:t>MODÉRATION | 12 let. i LLCA, 45 al. 1 LPAv, 50 al. 1 LPAv, 98 LPA-VD</w:t>
      </w:r>
    </w:p>
    <w:p>
      <w:pPr>
        <w:pStyle w:val="Heading2"/>
      </w:pPr>
      <w:r>
        <w:t>Erwägungen</w:t>
      </w:r>
    </w:p>
    <w:p>
      <w:r>
        <w:rPr>
          <w:b/>
        </w:rPr>
        <w:t>E. 1</w:t>
      </w:r>
    </w:p>
    <w:p>
      <w:r>
        <w:t>er avril 2009. Jusqu'au 1 er janvier 2009, date d'entrée en vigueur de la LPA-VD (Loi du 28 octobre 2008 sur la procédure administrative; RSV 173.36) qui a abrogé la LJPA (Loi du 18 décembre 1989 sur la juridiction et la procédure administratives), le délai de recours était de vingt jours dès la notification de la décision (art. 51 a LPAv). La procédure est dorénavant régie par la LPA-VD (cf. art. 117 LPA-VD), qui prévoit un délai de recours de trente jours dès la notification de la décision attaquée (art. 95 LPA-VD). Tant selon l'art. 31 al. 2 aLJPA que selon l'art. 79 LPA-VD (applicable par renvoi de l'art. 99 LPA-VD), l'acte de recours doit être signé et indiquer les conclusions et motifs du recours. Interjeté en temps utile et dans les formes requises, le recours est recevable.</w:t>
      </w:r>
    </w:p>
    <w:p>
      <w:r>
        <w:rPr>
          <w:b/>
        </w:rPr>
        <w:t>E. 2</w:t>
      </w:r>
    </w:p>
    <w:p>
      <w:r>
        <w:t>Dans son écriture adressée le 7 septembre 2009, l'intimé au recours a demandé que les honoraires de la recourante soient recalculés selon un tarif horaire de 180 francs. Ce faisant, il a exercé un recours joint. Sous l'égide du renvoi de l'art. 51 LPAV à la LJPA, la Chambre des recours a considéré qu'un recours joint était irrecevable (JT 2006 III 38). Cette jurisprudence reste applicable, même si le renvoi se fait désormais à la LPA-VD. Cette dernière loi, en effet, n'a pas introduit le recours joint. Au demeurant, à supposer qu'il soit recevable, le recours joint serait de toute façon infondé. En effet, le tarif horaire de 300 fr. que la recourante a appliqué, et que le premier juge a confirmé, est inférieur au tarif usuellement pratiqué dans le Canton de Vaud (cf. Jean-Marc Reymond, Honoraires et concurrence, in L'avocat moderne, Mélanges publiés par l'Ordre des avocats vaudois à l'occasion de son centenaire, pp. 21 ss, 29) . En outre, le tarif horaire de 180 fr., dont se prévaut l'intimé, correspond à celui de l'avocat d'office, et non à celui de l'avocat de choix.</w:t>
      </w:r>
    </w:p>
    <w:p>
      <w:r>
        <w:rPr>
          <w:b/>
        </w:rPr>
        <w:t>E. 3</w:t>
      </w:r>
    </w:p>
    <w:p>
      <w:r>
        <w:t>Le recourant peut invoquer la violation du droit, y compris l'excès ou l'abus du pouvoir d'appréciation (a) et la constatation inexacte ou incomplète des faits pertinents (b), en vertu de l'art. 98 LPA-VD. La Chambre des recours dispose d'un libre pouvoir d'examen en fait et en droit (JT 2006 III 38 c. 2a ; JT 2003 III 67 c. 1d). En cas d'admission du recours, elle réforme la décision attaquée ou l'annule et, s'il y a lieu, renvoie l'affaire à l'autorité intimée (art. 90 LPA-VD, applicable par renvoi de l'art. 99 LPA-VD).</w:t>
      </w:r>
    </w:p>
    <w:p>
      <w:r>
        <w:rPr>
          <w:b/>
        </w:rPr>
        <w:t>E. 4</w:t>
      </w:r>
    </w:p>
    <w:p>
      <w:r>
        <w:t>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 BGC [Bulletin du Grand Conseil], séance du 3 septembre 2002, p. 2524). En matière de fixation des honoraires, il n'y a pas d'étalon précis. Les manières d'agir diffèrent selon le caractère et le comportement de chaque avocat ;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 JT 2003 III 67 c. 1 e ; voir aussi arrêt TF 4P.342/2006 du</w:t>
      </w:r>
    </w:p>
    <w:p>
      <w:r>
        <w:rPr>
          <w:b/>
        </w:rPr>
        <w:t>E. 5</w:t>
      </w:r>
    </w:p>
    <w:p>
      <w:r>
        <w:t>La recourante fait valoir qu'une réduction du montant de ses honoraires au motif qu'elle n'aurait pas demandé de provision à son client n'est pas justifiée dès lors qu'elle a effectivement sollicité une provision de 1'000 fr. qui lui a été versée le 29 octobre 2008. Selon la jurisprudence, l'avocat qui n'exige pas une provision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(JT 2006 III 39 ; JT 2003 III 67 ; JT 1990 III 66 ; CREC II, n° 37 du 9 mars 2009). En l'espèce, le mandat confié à la recourante a duré peu de temps, soit d'octobre à décembre 2008. En début de mandat, la recourante a requis une provision de 1'000 fr., qui lui a été payée le 29 octobre 2008. Ensuite, elle a établi une note intermédiaire, le 21 novembre 2008, d'un montant de 2'431 fr. 76, dont à déduire 1'000 fr. déjà payés, pour les opérations qu'elle avait effectuées jusqu'au 17 novembre 2008. La provision initialement requise puis la note intermédiaire transmise permettaient à l'intimé de se rendre compte du coût des opérations qu'il sollicitait. Vu la courte période qui s'est écoulée jusqu'à la résiliation du mandat, soit, moins d'un mois, on ne peut par conséquent reprocher à la recourante de n'avoir pas sollicité immédiatement une nouvelle provision. La note litigieuse n'a donc pas à être réduite, ce d'autant moins que la recourante a pratiqué un tarif horaire inférieur à celui qui est usuellement pratiqué dans le canton.</w:t>
      </w:r>
    </w:p>
    <w:p>
      <w:r>
        <w:rPr>
          <w:b/>
        </w:rPr>
        <w:t>E. 6</w:t>
      </w:r>
    </w:p>
    <w:p>
      <w:r>
        <w:t>Il s'ensuit que le recours doit être admis et le prononcé de modération réformé au chiffre I de son dispositif, en ce sens que la note litigieuse doit être arrêtée au montant de 2'195 fr., débours et TVA compris, pour les opérations que l'avocate P.________ a menées du 17 novembre au 15 décembre 2008. Les frais de deuxième instance de la recourante sont arrêtés à 150 francs (art. 249 TFJC [ Tarif du 4 décembre 1984 des frais judiciaires en matière civile; RSV 270.11.5]). Par ces motifs, la Chambre des recours du Tribunal cantonal, statuant à huis clos, prononce : I. Le recours est admis. II. Le prononcé est réformé au chiffre I de son dispositif comme il suit : I.     arrête la note d'honoraires de l'avocate P.________, pour les opérations du 17 novembre au 15 décembre, au montant de 2'195 fr. (deux mille cent nonante-cinq francs), débours et TVA compris. Il est confirmé pour le surplus. III. Les frais de deuxième instance de la recourante sont arrêtés à 150 fr. (cent cinquante francs). IV. L'intimé G.________ doit verser à la recourante P.________ la somme de 150 fr. (cent cinquante francs) à titre de dépens de deuxième instance. V. L'arrêt motivé est exécutoire. L e président : L a greffi ère : Du 23 septembre 2009 Le dispositif de l'arrêt qui précède est communiqué par écrit aux intéressés. L e greffi ère : Du L'arrêt qui précède, dont la rédaction a été approuvée à huis clos, est notifié en expédition complète, par l'envoi de photocopies, à : ‑      Me P.________, ‑      M. G.________. La Chambre des recours considère que la valeur litigieuse est de 420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