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178/2011/DCA vom 21. Dezember 2011</w:t>
      </w:r>
    </w:p>
    <w:p>
      <w:r>
        <w:t>VD Tribunal cantonal, 2011-12-21, FR</w:t>
      </w:r>
    </w:p>
    <w:p>
      <w:r>
        <w:rPr>
          <w:b/>
        </w:rPr>
        <w:t xml:space="preserve">Quelle: </w:t>
      </w:r>
      <w:r>
        <w:t>https://mcp.opencaselaw.ch/entscheid/vd_findinfo_178_2011_DCA</w:t>
      </w:r>
    </w:p>
    <w:p>
      <w:r>
        <w:t>FR: VD_FINDINFO 178/2011/DCA du 21 décembre 2011</w:t>
      </w:r>
    </w:p>
    <w:p>
      <w:r>
        <w:t>IT: VD_FINDINFO 178/2011/DCA del 21 dicembre 2011</w:t>
      </w:r>
    </w:p>
    <w:p>
      <w:pPr>
        <w:pStyle w:val="Heading2"/>
      </w:pPr>
      <w:r>
        <w:t>Regeste</w:t>
      </w:r>
    </w:p>
    <w:p>
      <w:r>
        <w:t>OEUVRE D'ART, OEUVRE{DROIT D'AUTEUR}, CONCURRENCE DÉLOYALE, DOMMAGES-INTÉRÊTS | 41 CO, 107 CPC, 5 let. c LCD, 2 al. 1 LDA, 2 al. 2 LDA, 9 LDA</w:t>
      </w:r>
    </w:p>
    <w:p>
      <w:pPr>
        <w:pStyle w:val="Heading2"/>
      </w:pPr>
      <w:r>
        <w:t>Erwägungen</w:t>
      </w:r>
    </w:p>
    <w:p>
      <w:r>
        <w:rPr>
          <w:b/>
        </w:rPr>
        <w:t>E. 4</w:t>
      </w:r>
    </w:p>
    <w:p>
      <w:r>
        <w:t>aLDA et 14 aLCD, prévoit que le requérant est tenu de réparer le préjudice causé par les mesures provisionnelles, si la prétention qui les a motivées se révèle infondée. Il dispose également que le juge peut refuser d'allouer une indemnité ou la réduire lorsque le requérant n'a pas commis de faute ou n'a commis qu'une faute légère. Cette disposition institue une responsabilité causale dépendant de la preuve libératoire (Meili, Basler Kommentar, 2 e éd., n. 1 ad art. 28f CC). D'après la doctrine, cette "solution de compromis entre la responsabilité objective et la responsabilité aquilienne" tend à éviter de dissuader la victime d'une atteinte à faire valoir ses droits (Jeandin, Commentaire romand, n. 2 in fine ad art. 28f CC et les références citées à la note infrapaginale n. 3; Bugnon, Les mesures provisionnelles de la protection de la personnalité, petit(s) commentaire(s), in La protection de la personnalité : bilan et perspectives d'un nouveau droit : contributions en l'honneur de Pierre Tercier pour ses cinquante ans, p 35 ss, p. 51 ). En l'espèce, le rejet des conclusions en interdiction du demandeur permet de considérer que les prétentions du demandeur au bénéfice des mesures provisionnelles ordonnées le 19 janvier 2005 ne sont en définitive pas fondées. Toutefois, le bien-fondé de la prétention en dommages-intérêts de la défenderesse suppose encore que le demandeur ait commis une faute en introduisant sa requête. A cet égard, celle-ci a d'abord été admise par l'ordonnance des mesures provisionnelles. Si l'ordonnance de mesures provisionnelles a été révoquée par l'arrêt sur appel du 19 mai 2006 et si les conclusions au fond du demandeur sont finalement rejetées, c'est à la suite de mesures d'instruction complémentaires – pièces, témoins, expertise. Dès l'instant où la requête du demandeur soulevait des questions de fait et juridiques complexes et qu'elle n'était pas d'emblée vouée à l'échec, on ne saurait reprocher au demandeur d'avoir utilisé une voie prévue par le droit fédéral. Il en résulte qu'il n'a pas commis de faute en procédant par voie de mesures provisionnelles, ce qui justifie de ne pas allouer d'indemnité à la défenderesse. IX. L'action de la défenderesse en réparation du dommage subi du fait des mesures provisionnelles devant être rejetée, les sûretés de 10'000 fr. déposées le 10 janvier 2006 par le demandeur au greffe de la cour de céans doivent être libérées en sa faveur, conformément à l'art. 107 al. 3 CPC-VD. X. La défenderesse réclame enfin le paiement de 17'510 francs. Il s’agit des dépens de première et de deuxième instances alloués à la défenderesse et mis à la charge du demandeur par l'arrêt sur appel du 19 mai 2006. La défenderesse a établi que ce montant ne lui a pas été payé. Elle est toutefois au bénéfice d’un jugement exécutoire qui vaut titre à la mainlevée définitive (Gilliéron, Poursuites pour dettes, faillites et concordat, 4 ème éd., n. 732 p. 144 et n. 750 p. 147), de sorte qu’il n’y a pas lieu de lui allouer une seconde fois ce montant. XI. Obtenant gain de cause sur les principales questions litigieuses, la défenderesse a droit à des dépens réduits de 10 % (Poudret/Haldy/Tappy, Procédure civile vaudoise, nn. 1 et 3 ad art. 92 CPC-VD), à la charge du demandeur, qu'il convient d'arrêter à 31'576 fr. 50, savoir : a) 18'000 fr. à titre de participation aux honoraires de son conseil; b) 900 fr. pour les débours de celui‑ci; c) 12'676 fr. 50 en remboursement partiel de son coupon de justice. La Cour civile, statuant à huis clos en application de l'art. 318a CPC-VD, prononce: I. Les conclusions I à V prises par le demandeur X.________contre la défenderesse S._______Sàrl, selon demande du 20 janvier 2006, sont rejetées. II. Les conclusions reconventionnelles prises le 6 septembre 2006 par la défenderesse à l'encontre du demandeur sont rejetées III. Les sûretés par 10'000 fr. (dix mille francs) en espèces déposées le 10 janvier 2006 par le demandeur auprès du greffe de la Cour civile seront libérées en sa faveur dans un délai de trente jours dès que le présent jugement sera devenu exécutoire. IV. Les frais de justice sont arrêtés à 18'040 fr. (dix-huit mille quarante francs) pour le demandeur, et à 14'085 fr. (quatorze mille huitante-cinq francs) pour la défenderesse. V. Le demandeur versera à la défenderesse le montant de 31'576 fr. 50 (trente et un mille cinq cent septante-six francs et cinquante centimes) à titre de dépens réduits. Le président :              La greffière : P. Muller E. Umulisa Musaby Du Le jugement qui précède, dont le dispositif a été communiqué aux parties le</w:t>
      </w:r>
    </w:p>
    <w:p>
      <w:r>
        <w:rPr>
          <w:b/>
        </w:rPr>
        <w:t>E. 6</w:t>
      </w:r>
    </w:p>
    <w:p>
      <w:r>
        <w:t>janvier 2012, lu et approuvé à huis clos, est notifié, par l'envoi de photocopies, aux conseils des parties.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