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169/II vom 10. September 2009</w:t>
      </w:r>
    </w:p>
    <w:p>
      <w:r>
        <w:t>VD Tribunal cantonal, 2009-09-10, FR</w:t>
      </w:r>
    </w:p>
    <w:p>
      <w:r>
        <w:rPr>
          <w:b/>
        </w:rPr>
        <w:t xml:space="preserve">Quelle: </w:t>
      </w:r>
      <w:r>
        <w:t>https://mcp.opencaselaw.ch/entscheid/vd_findinfo_169_II</w:t>
      </w:r>
    </w:p>
    <w:p>
      <w:r>
        <w:t>FR: VD_FINDINFO 169/II du 10 septembre 2009</w:t>
      </w:r>
    </w:p>
    <w:p>
      <w:r>
        <w:t>IT: VD_FINDINFO 169/II del 10 settembre 2009</w:t>
      </w:r>
    </w:p>
    <w:p>
      <w:pPr>
        <w:pStyle w:val="Heading2"/>
      </w:pPr>
      <w:r>
        <w:t>Regeste</w:t>
      </w:r>
    </w:p>
    <w:p>
      <w:r>
        <w:t>OBLIGATION D'ENTRETIEN, PERSONNE DIVORCÉE, POUVOIR D'EXAMEN, CONSTATATION DES FAITS, MALADIE, CHOSE JUGÉE, NON-LIEU, ENQUÊTE PÉNALE | 125 al. 1 CC, 138 al. 1 CC, 53 CO, 452 al. 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uniquement en réforme, interjeté en temps utile, est ainsi recevable.</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(Feuille fédérale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p. 195, SJ 2005 I 442; ATF 131 III 91, c. 5.2.2, p. 95). En l'espèce, les pièces produites par le recourant en deuxième instance sont recevables. Il en ressort notamment que, dans sa séance du 13 juillet 2009, le Tribunal d'accusation du canton de Vaud a rejeté le recours interjeté par la demanderesse contre l'ordonnance de non lieu rendue le 28 avril 2009 par le Juge d'instruction de l'arrondissement de Lausanne au sujet de sa plainte contre le défendeur pour voies de faits qualifiées. L'état de fait du jugement doit en outre être complété comme il suit : Le témoin U.________, entendue par anticipation et dont le témoignage a été protocolé en pages 17 à 20 du procès-verbal, a notamment déclaré que la demanderesse lui avait parlé du fait que le défendeur aurait changé de visage, sans qu'elle ait pu le constater elle-même, ne le connaissant pas bien. La demanderesse lui avait également dit que le défendeur hurlait et lui faisait des scènes. Une fois, à la suite d'une dispute, la demanderesse est venue chez le témoin et a passé une nuit chez elle. Elle lui a parlé des difficultés qu'elle rencontrait avec le défendeur et était en larmes. Le témoin a constaté que la demanderesse était dans un mauvais état psychique.</w:t>
      </w:r>
    </w:p>
    <w:p>
      <w:r>
        <w:rPr>
          <w:b/>
        </w:rPr>
        <w:t>E. 3</w:t>
      </w:r>
    </w:p>
    <w:p>
      <w:r>
        <w:t>Le recourant ayant retiré ses conclusions relatives à l'action en divorce de l'intimée et au partage de la prévoyance professionnelle, seule est litigieuse la question de la contribution d'entretien allouée à l'intimée. A cet égard, le recourant soutient que le mariage n'a pas eu d'impact sur la situation de l'intimée, dès lors qu'il a été de courte durée et qu'au moment du mariage, à savoir au mois de janvier 2004, celle-ci était au chômage. En outre, l'intimée est au bénéfice d'une formation d'employée de commerce, ce qui, selon le recourant, devrait lui permettre d'assumer son entretien. Il conteste être responsable de l'absence d'activité lucrative actuelle de l'intimée.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b) Selon l'art. 53 al. 1 CO (Code des obligations du 30 mars 1911; RS 220), le juge civil n'est pas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(art. 53 al. 2 CO). Le Tribunal fédéral a précisé que l'autorité de la chose jugée au pénal sur le civil relevait de la procédure, partant du droit cantonal, hors les points limitativement énoncés par la disposition susmentionnée (ATF 125 III 401 c. 3, JT 2000 I 110; ATF 120 Ia 101 c. 2e; ATF 107 II 151, JT 1981 I 604). Selon la jurisprudence de la cour de céans, l'appréciation des faits par le juge pénal ne lie pas le juge civil. En outre, celui-ci n'est pas non plus lié, en vertu du principe de son autonomie, par les faits établis au cours du procès pénal (CREC I du 25 novembre 1998 n° 580 c. 3b et références; JT 1969 III 89; JT 1959 III 11). c) En l'espèce, le mariage des parties a duré moins de cinq ans et celles-ci n'ont pas eu d'enfant. Il est donc présumé ne pas avoir eu de répercussions négatives sur l'autonomie de l'intimée. Toutefois, cette présomption est mise à néant par le fait qu'il est établi par les certificats médicaux produits que le mariage avec le recourant est la cause des troubles de l'adaptation et de la dépression réactionnelle de l'intimée diagnostiqués par la Dresse S.________ le 9 octobre 2008. Ni la circonstance que le recourant a été mis au bénéfice d'un non-lieu à l'issue de la procédure ouverte par l'intimée pour voies de fait qualifiées, ni l'appréciation des faits par le juge pénal ne lient la cour de céans vu l'art. 53 al. 1 CO et la jurisprudence susmentionnée. Au demeurant, les troubles psychologiques constatés par les certificats médicaux sont de nature à confirmer la véracité des déclarations que l'intimée a faites aux médecins qu'elle a consultés et aux témoins, en particulier au témoin U.________, savoir que le recourant "avait changé de visage", qu'il hurlait et lui faisait des scènes, ce témoin constatant en outre que l'intimée était dans un mauvais état psychique. A cet égard le recourant n'a pas établi ses allégués n os 49 et 50 relatifs au caractère inhérent à l'intimée des difficultés psychologiques qu'elle rencontre et ce caractère ne ressort pas du dossier. Le nombre des incapacités de travail et la durée pendant laquelle elles sont survenues établit que les violences en tous cas psychologiques subies par l'intimée n'ont pas été des événements isolés. Les troubles qui en sont résulté chez l'intimée sont de nature à entraver la prise d'une activité lucrative, de sorte qu'il y a lieu de considérer que le mariage a eu une répercussion négative sur l'autonomie économique de l'intimée. Il est en conséquence sans pertinence que celle-ci ait été au chômage pendant une année avant le mariage. L'allocation d'une contribution d'entretien à l'intimé est ainsi fondée dans son principe. Pour le surplus, les considérations des premiers juges relatives au montant de la contribution d'entretien et à sa durée, complètes et convaincantes, peuvent être confirmées par adoption de motifs (art. 471 al. 3 CPC).</w:t>
      </w:r>
    </w:p>
    <w:p>
      <w:r>
        <w:rPr>
          <w:b/>
        </w:rPr>
        <w:t>E. 4</w:t>
      </w:r>
    </w:p>
    <w:p>
      <w:r>
        <w:t>En conclusion, le recours doit être rejeté en application de l'art. 465 al. 1 CPC et le jugement confirmé. Les frais de deuxième instance du recourant sont arrêtés à 300 fr. (art. 233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A.Q.________ sont arrêtés à 300 fr. (trois cents francs). IV. L'arrêt motivé est exécutoire. L e président : L e greffi er : Du 10 septembre 2009 Le dispositif de l'arrêt qui précède est communiqué par écrit aux intéressés. L e greffi er : Du L'arrêt qui précède, dont la rédaction a été approuvée à huis clos, est notifié en expédition complète, par l'envoi de photocopies, à : ‑      Me Albert von Braun (pour A.Q.________), ‑      Me Valérie Elsner Guignard (pour B.Q.________).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