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162/II vom 2. September 2009</w:t>
      </w:r>
    </w:p>
    <w:p>
      <w:r>
        <w:t>VD Tribunal cantonal, 2009-09-02, FR</w:t>
      </w:r>
    </w:p>
    <w:p>
      <w:r>
        <w:rPr>
          <w:b/>
        </w:rPr>
        <w:t xml:space="preserve">Quelle: </w:t>
      </w:r>
      <w:r>
        <w:t>https://mcp.opencaselaw.ch/entscheid/vd_findinfo_162_II</w:t>
      </w:r>
    </w:p>
    <w:p>
      <w:r>
        <w:t>FR: VD_FINDINFO 162/II du 2 septembre 2009</w:t>
      </w:r>
    </w:p>
    <w:p>
      <w:r>
        <w:t>IT: VD_FINDINFO 162/II del 2 settembre 2009</w:t>
      </w:r>
    </w:p>
    <w:p>
      <w:pPr>
        <w:pStyle w:val="Heading2"/>
      </w:pPr>
      <w:r>
        <w:t>Regeste</w:t>
      </w:r>
    </w:p>
    <w:p>
      <w:r>
        <w:t>MESURE PROVISIONNELLE, DROIT D'ÊTRE ENTENDU, MESURE PRÉPROVISIONNELLE | 101 CPC, 444 al. 1 ch. 3 CPC, 29 al. 2 Cst.</w:t>
      </w:r>
    </w:p>
    <w:p>
      <w:pPr>
        <w:pStyle w:val="Heading2"/>
      </w:pPr>
      <w:r>
        <w:t>Erwägungen</w:t>
      </w:r>
    </w:p>
    <w:p>
      <w:r>
        <w:rPr>
          <w:b/>
        </w:rPr>
        <w:t>E. 1</w:t>
      </w:r>
    </w:p>
    <w:p>
      <w:r>
        <w:t>L 'art. 444 al. 1 ch. 3 CPC (Code de procédure civile du 14 décembre 1966, RSV 270.11) ouvre la voie du recours en nullité au Tribunal cantonal contre tout jugement principal d'une autorité judiciaire quelconque pour violation des règles essentielles de la procédure, lorsque l'informalité est de nature à influer sur le jugement et qu'elle ne peut pas être soumise au Tribunal cantonal par un recours en réforme ou corrigée par lui dans l'examen d'un tel recours. Le recours de l'art. 444 al. 1 ch. 3 CPC est ouvert contre une ordonnance non susceptible d'appel ou un arrêt sur appel (Poudret/Haldy/Tappy, Procédure civile vaudoise,</w:t>
      </w:r>
    </w:p>
    <w:p>
      <w:r>
        <w:rPr>
          <w:b/>
        </w:rPr>
        <w:t>E. 3</w:t>
      </w:r>
    </w:p>
    <w:p>
      <w:r>
        <w:t>Il s'ensuit que l e recours doit être admis et l'ordonnance de mesures provisionnelles du 20 novembre 2008 annulée, la cause étant renvoyée au Tribunal civil de l'arrondissement de La Côte pour fixation d'une audience provisionnelle et nouvelle décision, le contenu de l'ordonnance précitée valant dans l'intervalle ordonnance de mesures préprovisionnelles et l'accord intervenu entre les parties à l'audience du 13 mai 2009 étant réservé. Les frais de deuxième instance du recourant sont arrêtés à 300 francs. Les dépens de deuxième instance doivent être compensés (art. 92 al. 2 CPC). En effet, si le recourant n'a pu faire valoir ses droits dans le cadre des mesures provisionnelles que l'intimée a prises à l'audience de jugement du 13 novembre 2008, il a néanmoins été régulièrement convoqué à celle-ci et, surtout, a interdit à son conseil d'y participer sans indiquer les motifs de sa décision, ce qui constitue un comportement fautif au sens de l'art. 92 al. 3 CPC. Par ailleurs, en se voyant allouer ses conclusions en instance de mesures préprovisionnelles, l'intimée obtient, tout au moins temporairement, gain de cause. Par ces motifs, la Chambre des recours du Tribunal cantonal, statuant à huis clos, prononce : I. Le recours est admis. II. L'ordonnance de mesures provisionnelles du 20 novembre 2008 est annulée et la cause est renvoyée au Tribunal d'arrondissement de la Côte pour fixation d'une audience provisionnelle et nouvelle décision, le contenu de l'ordonnance précitée valant dans l'intervalle ordonnance de mesures préprovisionnelles, l'accord intervenu entre les parties à l'audience du 13 mai 2009 étant réservé. III. Les frais de deuxième instance du recourant sont arrêtés à 300 fr. (trois cents francs). IV. Les dépens de deuxième instance sont compensés. V. L'arrêt motivé est exécutoire. L e président : L a greffi ère : Du 2 septembre 2009 Le dispositif de l'arrêt qui précède est communiqué par écrit aux intéressés. L a greffi ère : Du L'arrêt qui précède, dont la rédaction a été approuvée à huis clos, est notifié en expédition complète, par l'envoi de photocopies, à : ‑      Me Reymond Georges (pour Q.________), ‑      Me Alain Vuithier (pour 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