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158/II vom 24. August 2009</w:t>
      </w:r>
    </w:p>
    <w:p>
      <w:r>
        <w:t>VD Tribunal cantonal, 2009-08-24, FR</w:t>
      </w:r>
    </w:p>
    <w:p>
      <w:r>
        <w:rPr>
          <w:b/>
        </w:rPr>
        <w:t xml:space="preserve">Quelle: </w:t>
      </w:r>
      <w:r>
        <w:t>https://mcp.opencaselaw.ch/entscheid/vd_findinfo_158_II</w:t>
      </w:r>
    </w:p>
    <w:p>
      <w:r>
        <w:t>FR: VD_FINDINFO 158/II du 24 août 2009</w:t>
      </w:r>
    </w:p>
    <w:p>
      <w:r>
        <w:t>IT: VD_FINDINFO 158/II del 24 agosto 2009</w:t>
      </w:r>
    </w:p>
    <w:p>
      <w:pPr>
        <w:pStyle w:val="Heading2"/>
      </w:pPr>
      <w:r>
        <w:t>Regeste</w:t>
      </w:r>
    </w:p>
    <w:p>
      <w:r>
        <w:t>MODÉRATION | 12 let. i LLCA, 45 al. 1 LPAv, 50 al. 1 LPAv, 98 LPA-VD</w:t>
      </w:r>
    </w:p>
    <w:p>
      <w:pPr>
        <w:pStyle w:val="Heading2"/>
      </w:pPr>
      <w:r>
        <w:t>Erwägungen</w:t>
      </w:r>
    </w:p>
    <w:p>
      <w:r>
        <w:rPr>
          <w:b/>
        </w:rPr>
        <w:t>E. 1</w:t>
      </w:r>
    </w:p>
    <w:p>
      <w:r>
        <w:t>Selon l'art. 50 al. 1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En vertu de l'art. 51 LPAv, la décision de modération peut faire l'objet d'un recours. Celui-ci, depuis le 1 er janvier 2008, ne doit plus être adressé à la Cour de modération qui a été supprimée (art. 67 et 73 al. 2 LOJV [Loi du 12 décembre 1979 d'organisation judiciaire; RSV 173.01]), mais à la Chambre des recours, plus précisément à la seconde Chambre des recours en vertu de l'art. 20 al. 1 in fine ROTC (Règlement organique du Tribunal cantonal du 13 novembre 2007; RSV 173.31.1) dans sa teneur dès le 1 er avril 2009. Jusqu'au 1 er janvier 2009, date d'entrée en vigueur de la LPA-VD (Loi du 28 octobre 2008 sur la procédure administrative; RSV 173.36) qui a abrogé la LJPA (Loi du 18 décembre 1989 sur la juridiction et la procédure administratives), le délai de recours était de vingt jours dès la notification de la décision (art. 51 a LPAv). La procédure est dorénavant régie par la LPA-VD (cf. art. 117 LPA-VD), qui prévoit un délai de recours de trente jours dès la notification de la décision attaquée (art. 95 LPA-VD). Tant selon l'art. 31 al. 2 aLJPA que selon l'art. 79 LPA-VD (applicable par renvoi de l'art. 99 LPA-VD), l'acte de recours doit être signé et indiquer les conclusions et motifs du recours. Interjeté en temps utile et dans les formes requises, le recours est recevable.</w:t>
      </w:r>
    </w:p>
    <w:p>
      <w:r>
        <w:rPr>
          <w:b/>
        </w:rPr>
        <w:t>E. 2</w:t>
      </w:r>
    </w:p>
    <w:p>
      <w:r>
        <w:t>Aux termes de l'art. 98 LPA-VD, le recourant peut invoquer la violation du droit, y compris l'excès ou l'abus du pouvoir d'appréciation (a) et la constatation inexacte ou incomplète des faits pertinents (b). La Chambre des recours dispose d'un libre pouvoir d'examen en fait et en droit (JT 2006 III 38 c. 2a; JT 2003 III 67 c. 1d). En cas d'admission du recours, elle réforme la décision attaquée ou l'annule ; s'il y a lieu, elle renvoie l'affaire à l'autorité intimée (art. 90 LPA-VD, applicable par renvoi de l'art. 99 LPA-VD).</w:t>
      </w:r>
    </w:p>
    <w:p>
      <w:r>
        <w:rPr>
          <w:b/>
        </w:rPr>
        <w:t>E. 3</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article 37 LB (Loi du 22 novembre 1944 sur le Barreau; Bulletin du Grand Conseil [BGC], séance du 3 septembre 2002, p. 2524). En matière de fixation des honoraires, il n'y a pas d'étalon précis. Les manières d'agir diffèrent selon le caractère et le comportement de chaque avocat ;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1e; voir aussi TF 4P.342/2006 du 5 mars 2007 c. 4.1 et les références citées).</w:t>
      </w:r>
    </w:p>
    <w:p>
      <w:r>
        <w:rPr>
          <w:b/>
        </w:rPr>
        <w:t>E. 4</w:t>
      </w:r>
    </w:p>
    <w:p>
      <w:r>
        <w:t>a) En l'espèce, le premier juge a estimé que le temps de 11 heures 37 que la requérante déclarait avoir consacré à sa mission était justifié, de même que le tarif horaire de 353 fr. qu'elle avait appliqué, au vu de la nature de la procédure, du nombre d'opérations effectuées et de la durée du mandat. Ces considérations, qui sont adéquates, peuvent être confirmées. b) En revanche, le premier juge a considéré devoir réduire la note d'honoraires de la requérante de 20 %, observant "qu'il [n'était] pas établi que l'avocate Z.________ [avait] sollicité une quelconque provision de l'intimée". ba) L'art. 12 let. i LLCA (Loi du 23 juin 2000 sur la libre circulation des avocats : RS 935.61) prévoit que l'avocat, lorsqu'il accepte un mandat,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"renseigne périodiquement son client sur le montant des honoraires dus" ; FF 1999, pp. 5391/92).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il a en outre été expressément rappelé que le client pouvait obtenir une réduction des honoraires en cas de défaut d'information de l'avocat sur sa facturation (BO CE [Bulletin officiel du Conseil des Etats] 1999, p. 1172). La loi sur la profession d'avocat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39 ; JT 2003 III 67 ; JT 1990 III 66 ; CREC II n° 37 du 9 mars 2009). Si le mandat a une durée relativement brève, la faute commise par l'avocat qui a omis de requérir une provision suffisante est moindre que si l'avocat poursuit dans les mêmes conditions ses activités sur une longue période (C. Mod. n° 7 du 10 juillet 2006). bb) En l'espèce, c'est à tort que le premier juge a retenu que la recourante n'avait pas sollicité de provisions. En effet, selon ses courriers des 19 septembre 2007, 4 juin, 16 septembre 2008 et 13 février 2009, assortis à chaque fois de décomptes intermédiaires, la recourante a demandé à sa cliente de lui payer des provisions. Elle a ainsi régulièrement requis des provisions sur la base de décomptes intermédiaires détaillés. Dès lors qu'elle ne peut par conséquent pas se voir reprocher d'avoir manqué à ses obligations en la matière, sa note d'honoraires ne peut être réduite.</w:t>
      </w:r>
    </w:p>
    <w:p>
      <w:r>
        <w:rPr>
          <w:b/>
        </w:rPr>
        <w:t>E. 5</w:t>
      </w:r>
    </w:p>
    <w:p>
      <w:r>
        <w:t>Il s'ensuit que le recours doit être admis et le prononcé réformé au chiffre I de son dispositif, en ce sens que la note litigieuse doit être modérée à un montant de 4'503 fr. 75 comprenant 4'065 fr. 85 d'honoraires, 119 fr. 80 de débours et 318 fr. 10 de TVA (7,6 %) ; le prononcé est confirmé pour le surplus. La recourante a droit au remboursement de son coupon de justice d'un montant de 150 fr., à titre de dépens de deuxième instance. Par ces motifs, la Chambre des recours du Tribunal cantonal, statuant à huis clos, prononce : I. Le recours est admis. II. Le prononcé est réformé au chiffre I de son dispositif comme il suit : I.     modère la note de l'avocate Z.________ du 10 mars 2009 de la façon suivante : - 4'065 fr. 85 (quatre mille soixante-cinq francs et huitante-cinq centimes) d'honoraires, plus débours, par 119 fr. 80 (cent dix-neuf francs et huitante centimes), plus TVA (7,6 %) par 318 fr.</w:t>
      </w:r>
    </w:p>
    <w:p>
      <w:r>
        <w:rPr>
          <w:b/>
        </w:rPr>
        <w:t>E. 10</w:t>
      </w:r>
    </w:p>
    <w:p>
      <w:r>
        <w:t>(trois cent dix-huit francs et dix centimes), soit un montant total de 4'503 fr. 75 (quatre mille cinq cent trois francs et septante-cinq centimes). Il est confirmé pour le surplus. III. Les frais de deuxième instance de la recourante sont arrêtés à 150 fr. (cent cinquante francs). IV. L'intimée T.________ doit verser à la recourante Z.________ la somme de 150 fr. (cent cinquante francs) à titre de dépens de deuxième instance. V. L'arrêt motivé est exécutoire. L e président : L a greffi ère : Du 24 août 2009 Le dispositif de l'arrêt qui précède est communiqué par écrit aux intéressés. L a greffi ère : Du L'arrêt qui précède, dont la rédaction a été approuvée à huis clos, est notifié en expédition complète, par l'envoi de photocopies, à : ‑      Me Z.________, ‑      Mme T.________. La Chambre des recours considère que la valeur litigieuse est de 813 francs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