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157 vom 22. Dezember 2022</w:t>
      </w:r>
    </w:p>
    <w:p>
      <w:r>
        <w:t>VD Tribunal cantonal, 2022-12-22, FR</w:t>
      </w:r>
    </w:p>
    <w:p>
      <w:r>
        <w:rPr>
          <w:b/>
        </w:rPr>
        <w:t xml:space="preserve">Quelle: </w:t>
      </w:r>
      <w:r>
        <w:t>https://mcp.opencaselaw.ch/entscheid/vd_findinfo_157___________</w:t>
      </w:r>
    </w:p>
    <w:p>
      <w:r>
        <w:t>FR: VD_FINDINFO 157 du 22 décembre 2022</w:t>
      </w:r>
    </w:p>
    <w:p>
      <w:r>
        <w:t>IT: VD_FINDINFO 157 del 22 dicembre 2022</w:t>
      </w:r>
    </w:p>
    <w:p>
      <w:pPr>
        <w:pStyle w:val="Heading2"/>
      </w:pPr>
      <w:r>
        <w:t>Regeste</w:t>
      </w:r>
    </w:p>
    <w:p>
      <w:r>
        <w:t>OBLIGATION D'ENTRETIEN, ADMISSION PARTIELLE, FIXATION DE LA PEINE | 217 al. 1 CP</w:t>
      </w:r>
    </w:p>
    <w:p>
      <w:pPr>
        <w:pStyle w:val="Heading2"/>
      </w:pPr>
      <w:r>
        <w:t>Erwägungen</w:t>
      </w:r>
    </w:p>
    <w:p>
      <w:r>
        <w:rPr>
          <w:b/>
        </w:rPr>
        <w:t>E. 1</w:t>
      </w:r>
    </w:p>
    <w:p>
      <w:r>
        <w:t>Interjeté dans les formes et délais légaux (art. 399 et 400 al. 3 let. b CPP [Code de procédure pénale suisse du</w:t>
      </w:r>
    </w:p>
    <w:p>
      <w:r>
        <w:rPr>
          <w:b/>
        </w:rPr>
        <w:t>E. 5</w:t>
      </w:r>
    </w:p>
    <w:p>
      <w:r>
        <w:t>Invoquant une violation des art. 46, 47 et 49 CP, l'appelant conteste la peine privative de liberté de 15 mois.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5.1.2</w:t>
      </w:r>
    </w:p>
    <w:p>
      <w:r>
        <w:t>S'agissant de la diminution de la responsabilité pénale (art. 19 al. 2 CP), le Tribunal fédéral a considéré que le tribunal n'est pas tenu d'indiquer en chiffres ou en pourcentage la manière dont il a pris en considération les différents critères de fixation de la peine, s'agissant en particulier de la responsabilité de l'auteur. Vu les limites de la psychiatrie légale, la pratique a développé une tripartition pragmatique sous la forme d'une atténuation légère, moyenne ou grave de la responsabilité. En présence d’une diminution de la responsabilité, le juge doit, pour parvenir à une fixation de la peine compréhensible, procéder comme suit : dans un premier temps et sur la base des constatations de fait de l’expert, il faut décider dans quelle mesure la responsabilité de l’auteur est diminuée sous l’angle juridique et comment cela se manifeste globalement sur l’appréciation de la culpabilité. Il faut qualifier la faute d’ensemble et, en tenant compte de l’art. 50 CP, indiquer expressément dans le jugement comment il faut partir d’une gradation de réductions selon le degré de gravité. Il faut ensuite, dans un deuxième temps et à l’intérieur du cadre légal de la peine, déterminer celle (hypothétique) qui correspond à cette faute (ATF 136 IV 55).</w:t>
      </w:r>
    </w:p>
    <w:p>
      <w:r>
        <w:rPr>
          <w:b/>
        </w:rPr>
        <w:t>E. 5.1.3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rPr>
          <w:b/>
        </w:rPr>
        <w:t>E. 5.1.4</w:t>
      </w:r>
    </w:p>
    <w:p>
      <w:r>
        <w:t>Selon l'art. 46 al. 1 CP,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que l'intéressé puisse au besoin la contester utilement et l'autorité de recours exercer son contrôle (TF 6B_1165/2013 du 1 er mai 2014 consid. 2.2 et les références citées).</w:t>
      </w:r>
    </w:p>
    <w:p>
      <w:r>
        <w:rPr>
          <w:b/>
        </w:rPr>
        <w:t>E. 5.2</w:t>
      </w:r>
    </w:p>
    <w:p>
      <w:r>
        <w:t>L’appelant s'est rendu coupable de violation d'une obligation d'entretien entre février et mars 2015, puis entre le 1 er décembre 2015 et le 31 mars 2020. Concernant la nature de la peine, on doit constater l'inefficacité des précédentes peines pécuniaires prononcées, que celles-ci aient été fermes ou assorties du sursis. Par ailleurs, seule une peine privative de liberté entre en ligne au regard de la culpabilité de l'appelant. S'agissant de la quotité de la peine, la culpabilité de l’appelant est très lourde. Il se trouve en situation de récidive spéciale. Ses agissements illicites se sont déroulés sur de nombreuses années et le montant total des arriérés impayés est impressionnant. Il a agi de manière délibérée, faisant preuve d’un égoïsme et d’un mépris total pour ses obligations résultant du droit de la famille. Sa manière d’inverser sans cesse les rôles et de se faire passer pour la victime est détestable. Les décisions judiciaires rendues à son encontre et les condamnations prononcées, ainsi que les jours passés en détention préventive, n’ont eu aucun effet sur lui. A décharge, il y a lieu de prendre en compte les troubles psychiatriques de l’appelant qui rendent pour lui difficile de sortir de son mode de fonctionnement et de se remettre en question, ce qui justifie une légère diminution de responsabilité pour retenir en définitive que sa culpabilité est lourde. C’est dès lors une peine privative de liberté de 12 mois, en lieu et place des 15 mois fixés par les premiers juges, qui doit sanctionner le comportement délictuel de l’appelant, la peine étant partiellement complémentaire à celle prononcée le 31 mars 2015 par le Tribunal correctionnel de l’arrondissement de La Côte. Le pronostic est défavorable. L'appelant a déjà été condamné à trois reprises. Il viole ses obligations d'entretien depuis 2013 et les peines prononcées à son encontre n'ont aucun effet sur lui. Deux précédentes condamnations concernaient déjà le même chef d'accusation. L’appelant ne fait pas les efforts que ses enfants sont en droit d’attendre de lui, renonçant à percevoir des indemnités chômage ou à demander des subsides pour son assurance maladie. Enfin, s’agissant de la révocation du sursis accordé le 1 er février 2016, on constate que l’appelant a déjà subi 139 jours de détention préventive dans le cadre de sa première condamnation. Dans ces circonstances, on ne peut retenir que le prononcé de la peine sanctionnant les faits de la présente cause, soit une peine privative de liberté ferme, aura un effet dissuasif suffisant sur l'intéressé. Il convient par conséquent de confirmer la révocation du sursis qui lui avait été accordé par le Tribunal de police de l'arrondissement de La Côte le 1 er février 2016.</w:t>
      </w:r>
    </w:p>
    <w:p>
      <w:r>
        <w:rPr>
          <w:b/>
        </w:rPr>
        <w:t>E. 6</w:t>
      </w:r>
    </w:p>
    <w:p>
      <w:r>
        <w:t>L’appelant ne conteste pas explicitement le principe ou le montant de l’indemnité allouée aux intimés pour les dépenses occasionnées par la procédure au sens de l’art. 433 CPP. Sa condamnation pour violation d’une obligation d’entretien étant confirmée, les intimés pouvaient prétendre à une indemnité au sens de l’art. 433 CPP. Par ailleurs, l’appelant ne remet pas en cause les différentes opérations alléguées par le conseil des intimés de sorte qu’on doit confirmer le montant de 7'915 fr. 95 alloué par les premiers juges.</w:t>
      </w:r>
    </w:p>
    <w:p>
      <w:r>
        <w:rPr>
          <w:b/>
        </w:rPr>
        <w:t>E. 7</w:t>
      </w:r>
    </w:p>
    <w:p>
      <w:r>
        <w:t>En définitive, l’appel est très partiellement admis en ce sens que l’appelant est condamné, pour violation d’une obligation d’entretien, à une peine privative de liberté de 12 mois. Il n’y a pas lieu de modifier la répartition des frais de première instance, la culpabilité de l’appelant étant confirmée dans une très large mesure, la violation de l’obligation d’entretien étant retenue à l’exception d’une courte période d’incapacité de l’appelant, du</w:t>
      </w:r>
    </w:p>
    <w:p>
      <w:r>
        <w:rPr>
          <w:b/>
        </w:rPr>
        <w:t>E. 12</w:t>
      </w:r>
    </w:p>
    <w:p>
      <w:r>
        <w:t>février au 30 novembre 2015. Me Ludovic Tirelli, défenseur d’office de l’appelant, a produit une liste d’opérations (P. 100) dont il n’y a pas lieu de s’écarter sous réserve de 15 minutes à retrancher pour tenir compte du temps effectivement consacré à l’audience d’appel. C’est ainsi une indemnité de 2’502 fr. 10, correspondant à 12 heures d’activité nécessaire d’avocat au tarif horaire de 180 fr., plus 29 fr. 40 de débours, une vacation à 120 fr., ainsi que 124 fr. 70 de TVA, qui sera allouée au défenseur d’office de l’appelant pour la procédure d'appel. Vu l’issue de la cause, les frais de la procédure d’appel, par 5'182 fr. 10, constitués de l’émolument de jugement, par 2’680 fr. (art. 21 al. 1 et 2 TFIP [Tarif des frais de procédure et indemnités en matière pénale du 28 septembre 2010 ; BLV 312.03.1]), ainsi que de l’indemnité allouée au défenseur d’office de l’appelant, par 2’502 fr. 10, seront mis à la charge de l’appelant, qui succombe dans une très large mesure (art. 428 al. 1, 1 re phrase, CPP). Les intimés, A.K.________ et B.K.________, ont obtenu gain de cause en concluant au rejet de l’appel. Ils ont agi par l’intermédiaire d’un conseil de choix et ont droit à une pleine indemnité pour leurs dépenses obligatoires causées par la procédure d’appel, les conditions de l’art. 433 CPP étant réunies. Aux 3h54 alléguées par leur conseil (P. 101), on retranchera une heure pour tenir compte de la durée effective de l’audience d’appel. Compte tenu de la nature du litige, on appliquera un tarif horaire de 300 fr. (art. 26a al. 3 TFIP). C’est ainsi une indemnité de 1’744 fr. 10, correspondant à 4 heures et 54 minutes d’activité nécessaire d’avocat au tarif horaire de 300 fr., y compris des débours forfaitaires, par 29 fr. 40, et la TVA, par 124 fr. 70, qui sera allouée aux intimés, à la charge de l’appelant. R.________ ne sera tenu de rembourser à l’Etat le montant de l’indemnité en faveur de son conseil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