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14/2013 vom 12. Juni 2013</w:t>
      </w:r>
    </w:p>
    <w:p>
      <w:r>
        <w:t>VD Tribunal cantonal, 2013-06-12, FR</w:t>
      </w:r>
    </w:p>
    <w:p>
      <w:r>
        <w:rPr>
          <w:b/>
        </w:rPr>
        <w:t xml:space="preserve">Quelle: </w:t>
      </w:r>
      <w:r>
        <w:t>https://mcp.opencaselaw.ch/entscheid/vd_findinfo_14_2013</w:t>
      </w:r>
    </w:p>
    <w:p>
      <w:r>
        <w:t>FR: VD_FINDINFO 14/2013 du 12 juin 2013</w:t>
      </w:r>
    </w:p>
    <w:p>
      <w:r>
        <w:t>IT: VD_FINDINFO 14/2013 del 12 giugno 2013</w:t>
      </w:r>
    </w:p>
    <w:p>
      <w:pPr>
        <w:pStyle w:val="Heading2"/>
      </w:pPr>
      <w:r>
        <w:t>Regeste</w:t>
      </w:r>
    </w:p>
    <w:p>
      <w:r>
        <w:t>RÉCUSATION, ADMISSION DE LA DEMANDE | 47 al. 1 let. a CPC (CH), 47 al. 1 let. f CPC (CH), 48 CPC (CH), 8a al. 3 CDPJ</w:t>
      </w:r>
    </w:p>
    <w:p>
      <w:pPr>
        <w:pStyle w:val="Heading2"/>
      </w:pPr>
      <w:r>
        <w:t>Volltext</w:t>
      </w:r>
    </w:p>
    <w:p>
      <w:r>
        <w:t>Waadtland Tribunal cantonal Cour administrative 12.06.2013 14/2013 Vaud Tribunal cantonal Cour administrative 12.06.2013 14/2013 Vaud Tribunal cantonal Cour administrative 12.06.2013 14/2013</w:t>
      </w:r>
    </w:p>
    <w:p>
      <w:r>
        <w:t>RÉCUSATION, ADMISSION DE LA DEMANDE | 47 al. 1 let. a CPC (CH), 47 al. 1 let. f CPC (CH), 48 CPC (CH), 8a al. 3 CDPJ</w:t>
      </w:r>
    </w:p>
    <w:p>
      <w:r>
        <w:t>TRIBUNAL CANTONAL JH13.023027 14/2013 COUR ADMINISTRATIVE ______________________________ RECUSATION CIVILE Séance du 12 juin 2013 __________________ Présidence de               M. Meylan , président Juges :              MM. Muller et Michellod Greffière :              Mme de Watteville Subilia ***** Art. 47 al. 1 let. a et f, 48 CPC; art. 8a al. 3 CDPJ Vu la requête de mesures superprovisionnelles et provisionnelles en matière d'hypothèque légale des artisans et entrepreneurs pour un montant de 88'000 fr. déposée par L.________ contre M.________ et cts, vu l'ordonnance sur mesures superprovisionnelles du 31 mai 2013 par laquelle le Président du Tribunal d'arrondissement de l'Est vaudois a ordonné l'inscription provisoire au Registre foncier, office de Lavaux-Oron, d'une hypothèque légale des artisans et entrepreneurs d'un montant de 88’000 fr., avec intérêt à 5% l'an dès le 1 er avril 2013, en faveur de L.________, à Prilly, sur les parts de la propriété par étages constituée sur la parcelle de base n° [...] de la Commune d'Oron, dont M.________ et cts sont respectivement propriétaires (I), a déclaré l'ordonnance immédiatement exécutoire et dit qu'elle restera en vigueur jusqu'à droit connu sur le sort des mesures provisionnelles (II) et a dit que les frais de l'ordonnance suivaient le sort de la procédure provisionnelle (III), vu le courrier du 31 mai 2013 par lequel le Président du Tribunal d'arrondissement de l'Est vaudois a demandé spontanément la récusation en corps de ce tribunal, vu les pièces au dossier; attendu que la cour de céans est compétente pour statuer sur la demande de récusation du 31 mai 2013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que la requête de mesures provisionnelles et superprovisionnelles en matière d'hypothèque légale des artisans et entrepreneurs porte sur différentes parts de copropriété par étages grevant la parcelle de base n° [...], que H.________ est inscrite en qualité de propriétaire d'une de ces parts, immatriculée sous n° [...], qu'elle est également présidente du Tribunal d'arrondissement de l'Est vaudois, que le Président du Tribunal d'arrondissement de l'Est vaudois y voit un motif de récusation de tout le tribunal, qu'à teneur de l'art. 47 al. 1 let. a CPC (Code de procédure civile du 19 décembre 2008; RS 272), les magistrats et fonctionnaires judiciaires se récusent lorsqu'ils ont un intérêt personnel dans la cause, qu'on pense tout d'abord aux causes dans lesquelles le magistrat est attrait comme partie ou dans lesquelles il pourrait intervenir volontairement ou de manière forcée (Bohnet, Code de procédure civile commenté, Bâle 2011, n. 15 ad art. 47 CPC), qu'en vertu de l'art. 47 al. 1 let. f CPC, les magistrats et fonctionnaires judiciaires se récusent lorsqu'ils pourraient être prévenus de toute autre manière,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en qualité de Présidente du Tribunal d'arrondissement de l'Est vaudois, H.________ pourrait apparaître à la fois juge et partie (cf. CA 9 avril 2013/8; CA 9 avril 2013/9), qu'en outre, de par sa fonction, elle a des contacts réguliers et professionnels avec les autres membres de ce tribunal, qu'il est possible qu'un rapport d'amitié ou d'inimitié ait pu naître de ces relations professionnelles entre H.________ et les présidents composant cette autorité (CA 9 avril 2013/8; CA 30 août 2012/30; CA 25 avril 2012/14), qu'il pourrait ainsi résulter de ces relations une apparence de prévention entre les membres de cette autorité et H.________, du moins aux yeux de la partie adverse et des tiers, qu'il y a dès lors lieu d'admettre la demande, qu'en pareil cas, la cause doit être transmise dans l'état où elle se trouve à une autre autorité ayant les mêmes compétences (art. 8b al. 4 CDPJ), qu'elle sera par conséquent transmise au Tribunal d'arrondissement de Lausanne; attendu que le présent arrêt doit être rendu sans frais, ni dépens (Tappy, Code de procédure civile commenté, Bâle 2011, n. 28 ad art. 48 CPC);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déposée le 31 mai 2013 par le Président du Tribunal d'arrondissement de l'Est vaudois tendant à la récusation en corps de cette autorité est admise. II. La cause divisant L.________ d'avec M.________ et cts est transmise dans l'état où elle se trouve au Tribunal d'arrondissement de Lausanne. III. L'arrêt est rendu sans frais, ni dépens. IV. L'arrêt est exécutoire. Le président :               La greffière : Du L'arrêt qui précède, dont la rédaction a été approuvée à huis clos, est notifié en expédition complète, par l'envoi de photocopies, à : ‑ M. Youri Diserens, agent d’affaires breveté (pour L.________), - Mme H.________, - M. M.________, - M. F.________, - M. C.________, - M. Q.________, - M. N.________, - M. et Mme S.________, - M. et Mme B.________, - M. et Mme A.W.________, - Mme R.________, - M. et Mme J.________, - M. X.________, - Mme G.________, - M. T.________, - Mme D.________, - M. et Mme Z.________, - M. et Mme A.________, - Mme K.________, - M. et Mme B.W.________, - M. U.________, - Mme V.________, - M. O.________, - M. P.________, - M. et Mme E.________, - Mme I.________, - M. et Mme Y.________, - M. et Mme WW._____, - Mme ZZ.____, - M. XX.______, - M. Richard Oulevey,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