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146/II vom 20. Juli 2009</w:t>
      </w:r>
    </w:p>
    <w:p>
      <w:r>
        <w:t>VD Tribunal cantonal, 2009-07-20, FR</w:t>
      </w:r>
    </w:p>
    <w:p>
      <w:r>
        <w:rPr>
          <w:b/>
        </w:rPr>
        <w:t xml:space="preserve">Quelle: </w:t>
      </w:r>
      <w:r>
        <w:t>https://mcp.opencaselaw.ch/entscheid/vd_findinfo_146_II</w:t>
      </w:r>
    </w:p>
    <w:p>
      <w:r>
        <w:t>FR: VD_FINDINFO 146/II du 20 juillet 2009</w:t>
      </w:r>
    </w:p>
    <w:p>
      <w:r>
        <w:t>IT: VD_FINDINFO 146/II del 20 luglio 2009</w:t>
      </w:r>
    </w:p>
    <w:p>
      <w:pPr>
        <w:pStyle w:val="Heading2"/>
      </w:pPr>
      <w:r>
        <w:t>Regeste</w:t>
      </w:r>
    </w:p>
    <w:p>
      <w:r>
        <w:t>MESURE PROVISIONNELLE, ARBITRAIRE DANS L'APPLICATION DU DROIT, APPRÉCIATION DES PREUVES, INTERDICTION DE L'ARBITRAIRE | 111 CPC, 444 CPC, 9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l'alinéa premier de cette disposition, celle du recours en réforme étant exclue (JT 2007 III 48; JT 1996 III 59; JT 1988 III 114; Poudret/Haldy/Tappy, Procédure civile vaudoise, 3 ème éd., 2002, n. 1 ad art. 108 CPC, pp. 211-212 et n. 1 ad art. 111 CPC, p. 217). Le recours, exclusivement en nullité et interjeté en temps utile, est ainsi recevable.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Le recourant soutient que l'arrêt attaqué est arbitraire tant dans l'établissement des faits que dans le cadre de l'appréciation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LTF (loi sur le Tribunal fédéral du 17 juin 2005; RS 173.110) n'impose pas actuellement à la Chambre des recours d'étendre son pouvoir d'examen (art. 111 al. 3 et 130 al. 2 LTF; Tappy, Les mesures provisionnelles en matière civile dans le nouveau système de recours au Tribunal fédéral, in RSPC 1/2007, pp. 99 ss, spéc. p. 107). Il en découle que, dans le canton de Vaud, l'entrée en vigueur de la LTF n'a pas changé le système de recevabilité pour le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b) En l'espèce, l'essentiel, voire la totalité des griefs soulevés par la recourante relève de l'application du droit matériel, ce que d'ailleurs elle admet, notamment en pages 9 et 10 de son mémoire. Partant, ces griefs sont irrecevables en nullité et le recours devrait être écarté pour ce motif déjà.</w:t>
      </w:r>
    </w:p>
    <w:p>
      <w:r>
        <w:rPr>
          <w:b/>
        </w:rPr>
        <w:t>E. 3</w:t>
      </w:r>
    </w:p>
    <w:p>
      <w:r>
        <w:t>a) La recourante s'en prend dans son recours principalement à la décision des premiers juges de s'écarter de la pratique habituelle et reconnue par la jurisprudence pour déterminer les revenus d'un indépendant, soit celle de la moyenne des revenus sur les trois dernières années, pour, dans le cas présent, s'en tenir qu'aux revenus réalisés par l'intimé en 2008. Si certes, cette décision des premiers juges n'est pas sans influence sur la détermination du montant de la pension, il n'en demeure pas moins que l'exception au principe de la moyenne des trois ans (TF 5D_167/2008 du 13 janvier 2009, rés. in Revue du droit de la tutelle 2009, p. 114) relève du droit matériel et ne constitue pas une appréciation arbitraire des preuves. Le recours doit donc être écarté sur ce point. De toute manière, ce choix des premiers juges a été motivé de façon circonstanciée, à satisfaction de droit. b) La recourante affirme que c'est à tort que les premiers juges ont retenu que l'intimé ne travaillait plus que quatre jours par semaine, aucune expertise médicale attestant qu'il ne pourrait plus travailler qu'à ce rythme. En l'espèce, on ne saurait tenir pour constitutive d'arbitraire dans l'appréciation des preuves l'affirmation des premiers juges selon laquelle la détérioration de l'état de santé de l'intimé ne lui permet plus de travailler que quatre jours par semaine. Le dossier contient en effet trois certificats médicaux émanant de médecins différents qui datent  de l'été 2008 (cf. pièces 6, 7 et 8 du bordereau du 26 septembre 2008) et dont il résulte en bref que l'intimé souffre d'une hypertension artérielle sévère et qu'il se trouve épuisé et stressé, à la limite du burn-out. S'il est vrai, comme le soutient la recourante, que ces pièces ne font pas état d'une réduction du temps de travail, on ne saurait pour autant la suivre lorsqu'elle soutient que la nécessité d'une réduction dudit temps de travail ne pouvait être constatée sans expertise. En effet, d'une part, seule la vraisemblance est requise en mesures provisionnelles et, d'autre part, ces certificats médicaux sont parlants s'agissant de la gravité des troubles de santé de l'intimé. Cet autre grief de la recourante apparaît dès lors à nouveau mal fondé. c) La recourante reproche aux premiers juges d'avoir retenu que le chiffre d'affaires de l'intimé était en baisse constante depuis 2004, reproche fondé sur le fait que le chiffre d'affaires réalisé en 2004 était plus élevé que celui des années précédentes. Cependant, que l'on arrête le revenu de l'intimé sur la seule base de l'année 2008 ou que l'on fasse une moyenne sur les trois, voire les cinq dernières années, il s'avère que le revenu ainsi établi se trouve dans la fourchette de ceux réalisés au cours des années 2004 à 2008. Ainsi, la constatation des premiers juges n'est en rien arbitraire. Le moyen de la recourante doit donc être rejeté. d) Les arguments développés par la recourante en page 6 et suivantes de son mémoire, soit notamment que la pension due par l'intimé pour son entretien doit être calculée en tenant compte des critères de l'art. 125 CC (Code civil suisse du 10 décembre 1907; RS 210) et non selon la règle habituelle du minimum vital avec répartition de l'excédent, relèvent à nouveau du droit matériel et sont ainsi irrecevables en nullité. e) Finalement, la recourante conteste encore la prise en compte dans son revenu du montant de 170 fr. qu'elle perçoit du locataire de son studio à titre d'indemnité pour le chauffage, l'eau chaude, l'électricité, le gaz et la piscine. S'il est exact que, tant le juge des mesures provisionnelles, que les juges de l'appel ont tenu compte dans la détermination du minimum vital de la recourante de ce montant de 170 fr., il n'en demeure pas moins que la question de savoir si ce montant clairement identifiable et identifié doit s'ajouter au loyer net pour déterminer son minimum vital est une question de droit matériel (Poudret, COJ, n. 2.6.1 ad art. 81 OJ, p. 794). Au demeurant, une appréciation arbitraire de ce point ne conduirait pas encore à un résultat arbitraire, les premiers juges ayant confirmé la décision du juge des mesures provisionnelles de considérer que les charges de l'appartement et du studio devaient être prises en compte dans le calcul du minimum vital de la recourante.</w:t>
      </w:r>
    </w:p>
    <w:p>
      <w:r>
        <w:rPr>
          <w:b/>
        </w:rPr>
        <w:t>E. 4</w:t>
      </w:r>
    </w:p>
    <w:p>
      <w:r>
        <w:t>En conclusion, le recours doit être rejeté, dans la mesure où il est recevable, en application de l'art. 465 al. 1 CPC. Les frais de deuxième instance de la recourante sont arrêtés à 1'200 fr. (art. 233 al. 1 TFJC [Tarif des frais judiciaires en matière civile du 4 décembre 1984; RSV 270.11.5]). Par ces motifs, la Chambre des recours du Tribunal cantonal, statuant à huis clos, en application de l'art. 465 al. 1 CPC, prononce : I. Le recours est rejeté, dans la mesure où il est recevable. II. L'arrêt sur appel est maintenu. III. Les frais d'arrêt de la recourante A.P.________, née [...], sont arrêtés à 1'200 fr. (mille deux cents francs). IV. L'arrêt motivé est exécutoire. L e président : L a greffi ère : Du 20 juillet 2009 Le dispositif de l'arrêt qui précède est communiqué par écrit aux intéressés. L a greffi ère : Du L'arrêt qui précède, dont la rédaction a été approuvée à huis clos, est notifié en expédition complète, par l'envoi de photocopies, à : ‑      Me Marcel Heider (pour A.P.________), ‑      Me Denis Bridel (pour B.P.________).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