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145/II vom 20. Juli 2009</w:t>
      </w:r>
    </w:p>
    <w:p>
      <w:r>
        <w:t>VD Tribunal cantonal, 2009-07-20, FR</w:t>
      </w:r>
    </w:p>
    <w:p>
      <w:r>
        <w:rPr>
          <w:b/>
        </w:rPr>
        <w:t xml:space="preserve">Quelle: </w:t>
      </w:r>
      <w:r>
        <w:t>https://mcp.opencaselaw.ch/entscheid/vd_findinfo_145_II</w:t>
      </w:r>
    </w:p>
    <w:p>
      <w:r>
        <w:t>FR: VD_FINDINFO 145/II du 20 juillet 2009</w:t>
      </w:r>
    </w:p>
    <w:p>
      <w:r>
        <w:t>IT: VD_FINDINFO 145/II del 20 luglio 2009</w:t>
      </w:r>
    </w:p>
    <w:p>
      <w:pPr>
        <w:pStyle w:val="Heading2"/>
      </w:pPr>
      <w:r>
        <w:t>Regeste</w:t>
      </w:r>
    </w:p>
    <w:p>
      <w:r>
        <w:t>MODÉRATION | 7 al. 2 LPAg, 9 al. 3 LPAg</w:t>
      </w:r>
    </w:p>
    <w:p>
      <w:pPr>
        <w:pStyle w:val="Heading2"/>
      </w:pPr>
      <w:r>
        <w:t>Erwägungen</w:t>
      </w:r>
    </w:p>
    <w:p>
      <w:r>
        <w:rPr>
          <w:b/>
        </w:rPr>
        <w:t>E. 1</w:t>
      </w:r>
    </w:p>
    <w:p>
      <w:r>
        <w:t>Aux termes de l'art. 9 al. 3 LPAg [loi du 20 mai 1957 sur la profession d'agent d'affaires breveté, RSV 179.11], la décision de modération peut faire l'objet d'un recours à la Cour de modération, dans un délai de dix jours dès sa communication. La Chambre des recours est compétente pour statuer sur un tel recours (art. 20 al. 1 in fine ROTC [règlement organique du Tribunal cantonal; RSV 173.31.1] selon modification du 10 mars 2009 entrée en vigueur le 1 er avril 2009). Déposé en temps utile, le recours est recevable.</w:t>
      </w:r>
    </w:p>
    <w:p>
      <w:r>
        <w:rPr>
          <w:b/>
        </w:rPr>
        <w:t>E. 2</w:t>
      </w:r>
    </w:p>
    <w:p>
      <w:r>
        <w:t>En matière de modération de notes d'honoraires d'avocat, la LJPA [loi sur la juridiction et la procédure administrative du 18 décembre 1989] était applicable par le renvoi de l'art. 51 LPAv [loi du 24 septembre 2002 sur la profession d'avocat; RSV 177.11] et accordait au juge modérateur un libre pouvoir d'appréciation en fait et en droit (JT 2003 III 67, c. 1d). Depuis l'entrée en vigueur le 1 er janvier 2009 de la loi sur la procédure administrative (LPA-VD; RSV 173.36) abrogeant la LJPA (art. 118) - l'art. 51 LPAv étant adapté en conséquence -, le recours administratif (art. 73 et 92 ss LPA-VD) permet d'invoquer la violation du droit, y compris l'excès ou l'abus du pouvoir d'appréciation, ainsi que la constatation inexacte ou incomplète des faits pertinents (art. 98 LPA-VD). Aucune disposition de la LPAg (cf. art. 9) ne précise le pouvoir d'examen de la Chambre des recours. Dans un arrêt du 26 mai 2008, la cour de céans a décidé d'appliquer la LJPA aux modérations de notes d'honoraires d'agents d'affaires brevetés et a ainsi admis disposer d'un libre pouvoir d'appréciation en fait et en droit (Ch. rec., no 96/II). Le même souci d'uniformisation conduit désormais à renvoyer aux règles de la LPA-VD en ce qui concerne le pouvoir d'examen de la cour de céans.</w:t>
      </w:r>
    </w:p>
    <w:p>
      <w:r>
        <w:rPr>
          <w:b/>
        </w:rPr>
        <w:t>E. 3</w:t>
      </w:r>
    </w:p>
    <w:p>
      <w:r>
        <w:t>La procédure étant peu formaliste en matière de modération d'honoraires, le recours est recevable si l'on peut en déduire, même implicitement, qu'il tend à la réduction des honoraires et des débours réclamés (Ch. rec., 26 mai 2008 no 96/II précité avec références). Le recourant Q.________ reproche au premier juge de n'avoir pas pris en compte l'entier de ses opérations et débours tels qu'ils résultent de sa liste d'opérations détaillée. La recourante C.________ Sàrl entend pour sa part limiter bien davantage les opérations donnant matière à rémunération.</w:t>
      </w:r>
    </w:p>
    <w:p>
      <w:r>
        <w:rPr>
          <w:b/>
        </w:rPr>
        <w:t>E. 4</w:t>
      </w:r>
    </w:p>
    <w:p>
      <w:r>
        <w:t>Selon l'art. 7 al. 2 LPAg, les honoraires de l'agent d'affaires breveté sont fixés par analogie avec le tarif en tenant compte de l'usage, de l'importance et de la difficulté de l'affaire et du résultat obtenu. La jurisprudence applique les critères définis en matière d'honoraires d'avocats, et prend également en considération la situation financière du client, l'importance du capital litigieux, le coût de la vie, les frais généraux de l'agent d'affaires et l'expérience de celui-ci (C. mod., 30 janvier 2003 no 5; C. mod., 24 novembre 2000 précité). En règle générale, les honoraires s'évaluent de façon globale, mais le juge modérateur est libre de recourir à la modération détaillée, d'office ou sur réquisition, s'il l'estime opportun vu les circonstances de l'espèce (Jomini, op. cit., n. 10, p. 5). Le magistrat modérateur, dont la tâche est d'arrêter le montant des honoraires, n'a pas à trancher des questions de fond relatives, par exemple, à la manière dont l'agent d'affaires a exécuté son mandat. L'examen d'une éventuelle violation des obligations découlant du mandat de l'agent d'affaires relève en principe du seul juge civil ordinaire et le magistrat modérateur doit se borner à taxer les opérations portées en compte au regard des prestations effectivement fournies par l'agent d'affaires (C. mod., 24 novembre 2000, précité; JT 1990 III 66; Jomini, op. cit., n. 6, p. 4 et les références citées). Il peut toutefois éliminer les opérations inutiles faites par l'agent d'affaires, par exemple lorsqu'il enfle à tort le travail effectivement nécessaire (Jomini, Les honoraires et débours de l'avocat vaudois et leur modération, in JT 1982 III  6 n. 11). En l'espèce, le 8 janvier 2008, Q.________ a adressé à C.________ Sàrl un décompte intermédiaire d'honoraires et débours faisant état de 3700 fr. d'honoraires pour environ 65 opérations effectuées depuis l'ouverture du dossier et d'un solde en faveur du mandataire de 3'063 fr. 45, TVA et débours par 241 fr. 40 compris, après encaissement de divers montants et paiement de divers frais. La lettre d'envoi expose que la mise sur pied de la convention entre parties a nécessité de très nombreuses opérations. A la requête de C.________ Sàrl, une liste détaillée d'opérations et de débours a été établie et transmise. Par télécopie du 18 janvier 2008, la recourante a signifié la résiliation du mandat confié à son mandataire. Il en résulte, d'une part en amont, que  les opérations postérieures à la résiliation du mandat n'ont pas à être prises en considération et, d'autre part en aval, que les opérations pertinentes ne sauraient être limitées à la requête de mesures provisoire. L'objet de la modération est donc circonscrit dans le temps par la note d'honoraires intermédiaire du 8 janvier 2008 et non par celle du 6 février 2008. Pour l'essentiel ces opérations comprennent : l'élaboration et la rédaction d'une requête d'inscription provisoire d'hypothèque légale de quatre pages et d'un bordereau, ainsi que l'élaboration d'une convention de quatre pages prévoyant la consignation à titre de garantie d'un montant de 8'536 fr. 45 en mains de l'agent d'affaires en lieu et place de l'hypothèque légale inscrite à titre préprovisoire. Les autres opérations comportent : une conférence, des conférences par téléphone et appels téléphoniques donnés ou reçus (une vingtaine), des lettres (une vingtaine également), messages (deux) et télécopies, des prises de connaissance de correspondances et d'écrits divers (environ 20 de durée variable selon les temps de lecture), l'envoi de diverses annexes. L'exécution de ces opérations correspond à l'accomplissement d'une dizaine d'heures de travail, soit au tarif horaire de 225 fr., indiqué par C.________ Sàrl comme étant celui lui ayant été indiqué en début de mandat, sans être contredit sur ce point par la recourante, des honoraires pour un montant de 2'250 fr., auxquels il convient d'ajouter la TVA, soit 171 francs. Le recours de Q.________ doit être admis dans cette mesure. Q.________ a facturé un montant de 241 fr. 40 à titre de débours en intégrant des frais de communication téléphonique, d'enregistrement de dossier par 50 fr., des frais de port, soit 1 fr. par lettre, des frais de papier, soit 1 fr. par feuille qu'il s'agisse de photocopie, d'impression de fax ou de mail. S'agissant de débours ordinaires tels que ouverture de dossier, frais postaux et photocopies, il n'y pas lieu de les ajouter aux honoraires dès lors qu'ils sont déjà compris comme frais généraux de l'agent d'affaires dans le tarif horaire mentionné ci-dessus. Le recours de C.________ Sàrl doit être admis à cet égard. En revanche, l'avance d'émolument judiciaire effectuée pour le compte de C.________ Sàrl relève des débours extraordinaires devant être remboursés au conseil.</w:t>
      </w:r>
    </w:p>
    <w:p>
      <w:r>
        <w:rPr>
          <w:b/>
        </w:rPr>
        <w:t>E. 5</w:t>
      </w:r>
    </w:p>
    <w:p>
      <w:r>
        <w:t>En définitive les deux recours doivent être partiellement admis et la note d'honoraires doit être modérée à un montant de 2'851 fr. 40, débours par 400 francs et TVA par 201 fr. 40 compris, sous déduction de la provision de 1'076 fr. et de l'avance de frais par 500 fr. déjà versées (soit 1'576 francs). Le prononcé est confirmé pour le surplus. Les frais de deuxième instance sont arrêtés à 150 francs (art. 249 TFJC [tarif des frais judiciaires en matière civile; RSV 270.11.5]) pour chaque partie. Il y a lieu de compenser les dépens. Par ces motifs, la Chambre des recours du Tribunal cantonal, statuant à huis clos, prononce : I. Le recours de Q.________ est partiellement admis. II. Le recours de C.________ Sàrl est partiellement admis. III. Le prononcé est réformé comme suit au chiffre I de son dispositif : I.          modère à 2'851 fr. 40 (deux mille huit cent cinquante et un francs et quarante centimes) la note d'honoraires adressée le 6 février 2008 par l'agent d'affaires Q.________ à C.________ Sàrl, soit 2'250 francs  (deux mille deux cent cinquante francs) d'honoraires et 400 francs (quatre cents francs) de débours et 201 fr.  40 (deux cent et un francs et quarante centimes) de TVA sur honoraires et débours, dont à déduire 1'576 francs (mille cinq cent septante-six francs) de provision et avance. Le prononcé est confirmé pour le surplus. IV. Les frais de deuxième instance du recourant Q.________ sont arrêtés à 150 fr. (cent cinquante francs) et les frais de deuxième instance de la recourante C.________ Sàrl sont arrêtés à 150 fr. (cent cinquante francs). V. Les dépens de deuxième instance sont compensés. VI. L'arrêt motivé est exécutoire. L e président : L e greffi er : Du 20 juillet 2009 Le dispositif de l'arrêt qui précède est communiqué par écrit aux intéressés. L e greffi er : Du L'arrêt qui précède, dont la rédaction a été approuvée à huis clos, est notifié en expédition complète, par l'envoi de photocopies, à : ‑      M. Christophe Savoy, aab (pour Q.________), ‑      C.________ Sàrl. La Chambre des recours considère que la valeur litigieuse est de l'ordre de 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